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7828" w14:textId="77777777" w:rsidR="0091084D" w:rsidRDefault="0091084D" w:rsidP="0091084D">
      <w:pPr>
        <w:jc w:val="center"/>
        <w:rPr>
          <w:b/>
          <w:bCs/>
        </w:rPr>
      </w:pPr>
      <w:r>
        <w:rPr>
          <w:b/>
          <w:bCs/>
        </w:rPr>
        <w:t>Consultation Response on behalf of</w:t>
      </w:r>
    </w:p>
    <w:p w14:paraId="7E06D251" w14:textId="20C24E7B" w:rsidR="0091084D" w:rsidRDefault="0091084D" w:rsidP="0091084D">
      <w:pPr>
        <w:jc w:val="center"/>
        <w:rPr>
          <w:b/>
          <w:bCs/>
        </w:rPr>
      </w:pPr>
      <w:r>
        <w:rPr>
          <w:b/>
          <w:bCs/>
        </w:rPr>
        <w:t>Private Sector Housing and Environmental Health</w:t>
      </w:r>
    </w:p>
    <w:p w14:paraId="59450694" w14:textId="49E02103" w:rsidR="0091084D" w:rsidRPr="00783E39" w:rsidRDefault="0091084D" w:rsidP="0091084D">
      <w:pPr>
        <w:rPr>
          <w:b/>
          <w:bCs/>
          <w:sz w:val="20"/>
          <w:szCs w:val="20"/>
        </w:rPr>
      </w:pPr>
    </w:p>
    <w:p w14:paraId="4382B582" w14:textId="7C2DE7D1" w:rsidR="00291C86" w:rsidRPr="00291C86" w:rsidRDefault="00291C86" w:rsidP="0091084D">
      <w:pPr>
        <w:rPr>
          <w:rStyle w:val="casenumber"/>
          <w:rFonts w:cs="Varela Round"/>
          <w:b/>
          <w:bCs/>
          <w:color w:val="333333"/>
          <w:shd w:val="clear" w:color="auto" w:fill="FFFFFF"/>
        </w:rPr>
      </w:pPr>
      <w:r w:rsidRPr="00291C86">
        <w:rPr>
          <w:rStyle w:val="description"/>
          <w:rFonts w:cs="Varela Round"/>
          <w:b/>
          <w:bCs/>
          <w:color w:val="333333"/>
          <w:shd w:val="clear" w:color="auto" w:fill="FFFFFF"/>
        </w:rPr>
        <w:t xml:space="preserve">Planning application </w:t>
      </w:r>
      <w:r w:rsidR="00041B87" w:rsidRPr="00041B87">
        <w:rPr>
          <w:rStyle w:val="description"/>
          <w:rFonts w:cs="Varela Round"/>
          <w:b/>
          <w:bCs/>
          <w:color w:val="333333"/>
          <w:shd w:val="clear" w:color="auto" w:fill="FFFFFF"/>
        </w:rPr>
        <w:t>DC/22/2143/FUL</w:t>
      </w:r>
    </w:p>
    <w:p w14:paraId="4C9C73A5" w14:textId="77777777" w:rsidR="00291C86" w:rsidRPr="00783E39" w:rsidRDefault="00291C86" w:rsidP="0091084D">
      <w:pPr>
        <w:rPr>
          <w:rStyle w:val="casenumber"/>
          <w:rFonts w:cs="Varela Round"/>
          <w:b/>
          <w:bCs/>
          <w:color w:val="333333"/>
          <w:sz w:val="20"/>
          <w:szCs w:val="20"/>
          <w:shd w:val="clear" w:color="auto" w:fill="FFFFFF"/>
        </w:rPr>
      </w:pPr>
    </w:p>
    <w:p w14:paraId="32A06037" w14:textId="77777777" w:rsidR="00041B87" w:rsidRDefault="00041B87" w:rsidP="0091084D">
      <w:pPr>
        <w:rPr>
          <w:b/>
          <w:bCs/>
        </w:rPr>
      </w:pPr>
      <w:r>
        <w:rPr>
          <w:b/>
          <w:bCs/>
        </w:rPr>
        <w:t>E</w:t>
      </w:r>
      <w:r w:rsidRPr="00041B87">
        <w:rPr>
          <w:b/>
          <w:bCs/>
        </w:rPr>
        <w:t>ight residential units</w:t>
      </w:r>
    </w:p>
    <w:p w14:paraId="59786B8E" w14:textId="77777777" w:rsidR="00041B87" w:rsidRPr="00055E6A" w:rsidRDefault="00041B87" w:rsidP="0091084D">
      <w:pPr>
        <w:rPr>
          <w:b/>
          <w:bCs/>
          <w:sz w:val="20"/>
          <w:szCs w:val="20"/>
        </w:rPr>
      </w:pPr>
    </w:p>
    <w:p w14:paraId="5640B5D6" w14:textId="35D7DF2D" w:rsidR="007A7387" w:rsidRDefault="00041B87" w:rsidP="0091084D">
      <w:pPr>
        <w:rPr>
          <w:b/>
          <w:bCs/>
        </w:rPr>
      </w:pPr>
      <w:r w:rsidRPr="00041B87">
        <w:rPr>
          <w:b/>
          <w:bCs/>
        </w:rPr>
        <w:t xml:space="preserve">Land </w:t>
      </w:r>
      <w:r>
        <w:rPr>
          <w:b/>
          <w:bCs/>
        </w:rPr>
        <w:t>a</w:t>
      </w:r>
      <w:r w:rsidRPr="00041B87">
        <w:rPr>
          <w:b/>
          <w:bCs/>
        </w:rPr>
        <w:t>t Empire Yard</w:t>
      </w:r>
      <w:r>
        <w:rPr>
          <w:b/>
          <w:bCs/>
        </w:rPr>
        <w:t>,</w:t>
      </w:r>
      <w:r w:rsidRPr="00041B87">
        <w:rPr>
          <w:b/>
          <w:bCs/>
        </w:rPr>
        <w:t xml:space="preserve"> Brook Service Yard</w:t>
      </w:r>
      <w:r>
        <w:rPr>
          <w:b/>
          <w:bCs/>
        </w:rPr>
        <w:t>,</w:t>
      </w:r>
      <w:r w:rsidRPr="00041B87">
        <w:rPr>
          <w:b/>
          <w:bCs/>
        </w:rPr>
        <w:t xml:space="preserve"> Haverhill</w:t>
      </w:r>
      <w:r>
        <w:rPr>
          <w:b/>
          <w:bCs/>
        </w:rPr>
        <w:t>,</w:t>
      </w:r>
      <w:r w:rsidRPr="00041B87">
        <w:rPr>
          <w:b/>
          <w:bCs/>
        </w:rPr>
        <w:t xml:space="preserve"> Suffolk</w:t>
      </w:r>
    </w:p>
    <w:p w14:paraId="05A3285D" w14:textId="77777777" w:rsidR="00041B87" w:rsidRPr="00055E6A" w:rsidRDefault="00041B87" w:rsidP="0091084D">
      <w:pPr>
        <w:rPr>
          <w:b/>
          <w:bCs/>
          <w:sz w:val="20"/>
          <w:szCs w:val="20"/>
        </w:rPr>
      </w:pPr>
    </w:p>
    <w:p w14:paraId="188B8F88" w14:textId="604B2403" w:rsidR="00D01865" w:rsidRPr="00D01865" w:rsidRDefault="00D01865" w:rsidP="00D01865">
      <w:pPr>
        <w:rPr>
          <w:b/>
          <w:bCs/>
        </w:rPr>
      </w:pPr>
      <w:r w:rsidRPr="00D01865">
        <w:rPr>
          <w:b/>
          <w:bCs/>
        </w:rPr>
        <w:t>Regulatory Officer (Name):</w:t>
      </w:r>
      <w:r w:rsidRPr="00D01865">
        <w:rPr>
          <w:b/>
          <w:bCs/>
        </w:rPr>
        <w:tab/>
      </w:r>
      <w:r>
        <w:rPr>
          <w:b/>
          <w:bCs/>
        </w:rPr>
        <w:tab/>
      </w:r>
      <w:r w:rsidRPr="00D01865">
        <w:rPr>
          <w:b/>
          <w:bCs/>
        </w:rPr>
        <w:t>Dom Stagg, Environmental Health Officer</w:t>
      </w:r>
    </w:p>
    <w:p w14:paraId="595916B3" w14:textId="77777777" w:rsidR="00D01865" w:rsidRPr="00783E39" w:rsidRDefault="00D01865" w:rsidP="00D01865">
      <w:pPr>
        <w:rPr>
          <w:b/>
          <w:bCs/>
          <w:sz w:val="20"/>
          <w:szCs w:val="20"/>
        </w:rPr>
      </w:pPr>
    </w:p>
    <w:p w14:paraId="707A760D" w14:textId="3B47CA2F" w:rsidR="00D01865" w:rsidRPr="0091084D" w:rsidRDefault="00D01865" w:rsidP="00D01865">
      <w:pPr>
        <w:rPr>
          <w:b/>
          <w:bCs/>
        </w:rPr>
      </w:pPr>
      <w:r w:rsidRPr="00D01865">
        <w:rPr>
          <w:b/>
          <w:bCs/>
        </w:rPr>
        <w:t>Regulatory Reference Number:</w:t>
      </w:r>
      <w:r w:rsidRPr="00D01865">
        <w:rPr>
          <w:b/>
          <w:bCs/>
        </w:rPr>
        <w:tab/>
        <w:t>WK/</w:t>
      </w:r>
      <w:r w:rsidR="00041B87">
        <w:rPr>
          <w:b/>
          <w:bCs/>
        </w:rPr>
        <w:t>202347240</w:t>
      </w:r>
    </w:p>
    <w:p w14:paraId="7B717250" w14:textId="4A3B70EE" w:rsidR="0091084D" w:rsidRPr="00783E39" w:rsidRDefault="0091084D" w:rsidP="0091084D">
      <w:pPr>
        <w:rPr>
          <w:b/>
          <w:bCs/>
          <w:sz w:val="20"/>
          <w:szCs w:val="20"/>
        </w:rPr>
      </w:pPr>
    </w:p>
    <w:p w14:paraId="65683CB1" w14:textId="23E5E981" w:rsidR="0091084D" w:rsidRDefault="0091084D" w:rsidP="0091084D">
      <w:pPr>
        <w:rPr>
          <w:b/>
          <w:bCs/>
        </w:rPr>
      </w:pPr>
      <w:r w:rsidRPr="0091084D">
        <w:rPr>
          <w:b/>
          <w:bCs/>
        </w:rPr>
        <w:t xml:space="preserve">Date: </w:t>
      </w:r>
      <w:r w:rsidR="00D01865">
        <w:rPr>
          <w:b/>
          <w:bCs/>
        </w:rPr>
        <w:tab/>
      </w:r>
      <w:r w:rsidR="00D01865">
        <w:rPr>
          <w:b/>
          <w:bCs/>
        </w:rPr>
        <w:tab/>
      </w:r>
      <w:r w:rsidR="00D01865">
        <w:rPr>
          <w:b/>
          <w:bCs/>
        </w:rPr>
        <w:tab/>
      </w:r>
      <w:r w:rsidR="00D01865">
        <w:rPr>
          <w:b/>
          <w:bCs/>
        </w:rPr>
        <w:tab/>
      </w:r>
      <w:r w:rsidR="00D01865">
        <w:rPr>
          <w:b/>
          <w:bCs/>
        </w:rPr>
        <w:tab/>
      </w:r>
      <w:r w:rsidR="00041B87">
        <w:rPr>
          <w:b/>
          <w:bCs/>
        </w:rPr>
        <w:t xml:space="preserve">31 January </w:t>
      </w:r>
      <w:r w:rsidRPr="0091084D">
        <w:rPr>
          <w:b/>
          <w:bCs/>
        </w:rPr>
        <w:t>202</w:t>
      </w:r>
      <w:r w:rsidR="00041B87">
        <w:rPr>
          <w:b/>
          <w:bCs/>
        </w:rPr>
        <w:t>3</w:t>
      </w:r>
    </w:p>
    <w:p w14:paraId="669C6BA9" w14:textId="19DB15AD" w:rsidR="0091084D" w:rsidRPr="00783E39" w:rsidRDefault="0091084D" w:rsidP="0091084D">
      <w:pPr>
        <w:rPr>
          <w:sz w:val="20"/>
          <w:szCs w:val="20"/>
        </w:rPr>
      </w:pPr>
    </w:p>
    <w:p w14:paraId="31D17EEE" w14:textId="593079B5" w:rsidR="00291C86" w:rsidRDefault="00291C86" w:rsidP="00291C86">
      <w:pPr>
        <w:jc w:val="both"/>
      </w:pPr>
      <w:r>
        <w:t xml:space="preserve">I have reviewed the above application and on behalf of the Private Sector Housing and Environmental Health (PSH &amp; EH) Team can confirm I would have </w:t>
      </w:r>
      <w:r w:rsidRPr="00291C86">
        <w:rPr>
          <w:b/>
          <w:bCs/>
        </w:rPr>
        <w:t>NO OBJECTIONS</w:t>
      </w:r>
      <w:r>
        <w:t xml:space="preserve"> to the proposed development subject to the conditions and informative below being attached to any permission granted.</w:t>
      </w:r>
    </w:p>
    <w:p w14:paraId="4CFF4BA6" w14:textId="77777777" w:rsidR="00291C86" w:rsidRPr="00783E39" w:rsidRDefault="00291C86" w:rsidP="00291C86">
      <w:pPr>
        <w:jc w:val="both"/>
        <w:rPr>
          <w:sz w:val="20"/>
          <w:szCs w:val="20"/>
        </w:rPr>
      </w:pPr>
    </w:p>
    <w:p w14:paraId="4B74A723" w14:textId="51D84BA6" w:rsidR="00D274E0" w:rsidRDefault="00D274E0" w:rsidP="0091084D">
      <w:pPr>
        <w:jc w:val="both"/>
        <w:rPr>
          <w:b/>
          <w:bCs/>
        </w:rPr>
      </w:pPr>
      <w:r w:rsidRPr="00D274E0">
        <w:rPr>
          <w:b/>
          <w:bCs/>
        </w:rPr>
        <w:t>CONDITIONS</w:t>
      </w:r>
    </w:p>
    <w:p w14:paraId="71DB122B" w14:textId="7C54E6EA" w:rsidR="00D274E0" w:rsidRPr="00783E39" w:rsidRDefault="00D274E0" w:rsidP="0091084D">
      <w:pPr>
        <w:jc w:val="both"/>
        <w:rPr>
          <w:b/>
          <w:bCs/>
          <w:sz w:val="20"/>
          <w:szCs w:val="20"/>
        </w:rPr>
      </w:pPr>
    </w:p>
    <w:p w14:paraId="0F4D0614" w14:textId="302767B7" w:rsidR="00D274E0" w:rsidRDefault="00D274E0" w:rsidP="00D274E0">
      <w:pPr>
        <w:jc w:val="both"/>
        <w:rPr>
          <w:rFonts w:eastAsia="Calibri" w:cs="Times New Roman"/>
        </w:rPr>
      </w:pPr>
      <w:r w:rsidRPr="00D274E0">
        <w:rPr>
          <w:rFonts w:eastAsia="Calibri" w:cs="Times New Roman"/>
          <w:b/>
          <w:bCs/>
        </w:rPr>
        <w:t>1.</w:t>
      </w:r>
      <w:r w:rsidRPr="00D274E0">
        <w:rPr>
          <w:rFonts w:eastAsia="Calibri" w:cs="Times New Roman"/>
        </w:rPr>
        <w:t xml:space="preserve"> Prior to commencement of the development hereby approved, including any site preparation, a Construction Method Statement shall be submitted to, and approved in writing by, the Local Planning Authority. The approved Statement shall be adhered to throughout the construction period. The Statement shall provide for:</w:t>
      </w:r>
    </w:p>
    <w:p w14:paraId="72C2B331" w14:textId="77777777" w:rsidR="009258B7" w:rsidRPr="00055E6A" w:rsidRDefault="009258B7" w:rsidP="00D274E0">
      <w:pPr>
        <w:jc w:val="both"/>
        <w:rPr>
          <w:rFonts w:eastAsia="Calibri" w:cs="Times New Roman"/>
          <w:sz w:val="20"/>
          <w:szCs w:val="20"/>
        </w:rPr>
      </w:pPr>
    </w:p>
    <w:p w14:paraId="18EEF1C1" w14:textId="77777777" w:rsidR="00D274E0" w:rsidRPr="00D274E0" w:rsidRDefault="00D274E0" w:rsidP="00D274E0">
      <w:pPr>
        <w:jc w:val="both"/>
        <w:rPr>
          <w:rFonts w:eastAsia="Calibri" w:cs="Times New Roman"/>
        </w:rPr>
      </w:pPr>
      <w:r w:rsidRPr="00D274E0">
        <w:rPr>
          <w:rFonts w:eastAsia="Calibri" w:cs="Times New Roman"/>
        </w:rPr>
        <w:t>i) The parking of vehicles of site operatives and visitors;</w:t>
      </w:r>
    </w:p>
    <w:p w14:paraId="21BD2D57" w14:textId="77777777" w:rsidR="00D274E0" w:rsidRPr="00D274E0" w:rsidRDefault="00D274E0" w:rsidP="00D274E0">
      <w:pPr>
        <w:jc w:val="both"/>
        <w:rPr>
          <w:rFonts w:eastAsia="Calibri" w:cs="Times New Roman"/>
        </w:rPr>
      </w:pPr>
      <w:r w:rsidRPr="00D274E0">
        <w:rPr>
          <w:rFonts w:eastAsia="Calibri" w:cs="Times New Roman"/>
        </w:rPr>
        <w:t>ii) Loading and unloading of plant and materials;</w:t>
      </w:r>
    </w:p>
    <w:p w14:paraId="71812D3B" w14:textId="77777777" w:rsidR="00D274E0" w:rsidRPr="00D274E0" w:rsidRDefault="00D274E0" w:rsidP="00D274E0">
      <w:pPr>
        <w:jc w:val="both"/>
        <w:rPr>
          <w:rFonts w:eastAsia="Calibri" w:cs="Times New Roman"/>
        </w:rPr>
      </w:pPr>
      <w:r w:rsidRPr="00D274E0">
        <w:rPr>
          <w:rFonts w:eastAsia="Calibri" w:cs="Times New Roman"/>
        </w:rPr>
        <w:t>iii) Site set-up including arrangements for the storage of plant and materials used in constructing the development and the provision of temporary offices, plant and machinery;</w:t>
      </w:r>
    </w:p>
    <w:p w14:paraId="03B12D58" w14:textId="33BD0D93" w:rsidR="00D274E0" w:rsidRPr="00D274E0" w:rsidRDefault="00D274E0" w:rsidP="00D274E0">
      <w:pPr>
        <w:jc w:val="both"/>
        <w:rPr>
          <w:rFonts w:eastAsia="Calibri" w:cs="Times New Roman"/>
        </w:rPr>
      </w:pPr>
      <w:r w:rsidRPr="00D274E0">
        <w:rPr>
          <w:rFonts w:eastAsia="Calibri" w:cs="Times New Roman"/>
        </w:rPr>
        <w:t>iv) The erection and maintenance of security hoarding including external safety and information signage</w:t>
      </w:r>
      <w:r w:rsidR="00055E6A">
        <w:rPr>
          <w:rFonts w:eastAsia="Calibri" w:cs="Times New Roman"/>
        </w:rPr>
        <w:t>;</w:t>
      </w:r>
    </w:p>
    <w:p w14:paraId="3F2534A7" w14:textId="77777777" w:rsidR="00D274E0" w:rsidRPr="00D274E0" w:rsidRDefault="00D274E0" w:rsidP="00D274E0">
      <w:pPr>
        <w:jc w:val="both"/>
        <w:rPr>
          <w:rFonts w:eastAsia="Calibri" w:cs="Times New Roman"/>
        </w:rPr>
      </w:pPr>
      <w:r w:rsidRPr="00D274E0">
        <w:rPr>
          <w:rFonts w:eastAsia="Calibri" w:cs="Times New Roman"/>
        </w:rPr>
        <w:t>v) Wheel washing facilities;</w:t>
      </w:r>
    </w:p>
    <w:p w14:paraId="1161C08A" w14:textId="77777777" w:rsidR="00D274E0" w:rsidRPr="00D274E0" w:rsidRDefault="00D274E0" w:rsidP="00D274E0">
      <w:pPr>
        <w:jc w:val="both"/>
        <w:rPr>
          <w:rFonts w:eastAsia="Calibri" w:cs="Times New Roman"/>
        </w:rPr>
      </w:pPr>
      <w:r w:rsidRPr="00D274E0">
        <w:rPr>
          <w:rFonts w:eastAsia="Calibri" w:cs="Times New Roman"/>
        </w:rPr>
        <w:t xml:space="preserve">vi) Measures to control the emission of dust and dirt during construction; </w:t>
      </w:r>
    </w:p>
    <w:p w14:paraId="6E2427C0" w14:textId="78994FFC" w:rsidR="00D274E0" w:rsidRPr="00D274E0" w:rsidRDefault="00D274E0" w:rsidP="00D274E0">
      <w:pPr>
        <w:jc w:val="both"/>
        <w:rPr>
          <w:rFonts w:eastAsia="Calibri" w:cs="Times New Roman"/>
        </w:rPr>
      </w:pPr>
      <w:r w:rsidRPr="00D274E0">
        <w:rPr>
          <w:rFonts w:eastAsia="Calibri" w:cs="Times New Roman"/>
        </w:rPr>
        <w:t>vii) A scheme for recycling/disposing of waste resulting from construction works;</w:t>
      </w:r>
    </w:p>
    <w:p w14:paraId="7C15E4BC" w14:textId="77777777" w:rsidR="00D274E0" w:rsidRPr="00D274E0" w:rsidRDefault="00D274E0" w:rsidP="00D274E0">
      <w:pPr>
        <w:jc w:val="both"/>
        <w:rPr>
          <w:rFonts w:eastAsia="Calibri" w:cs="Times New Roman"/>
        </w:rPr>
      </w:pPr>
      <w:r w:rsidRPr="00D274E0">
        <w:rPr>
          <w:rFonts w:eastAsia="Calibri" w:cs="Times New Roman"/>
        </w:rPr>
        <w:t xml:space="preserve">viii) Hours of construction operations including times for deliveries and the removal of excavated materials and waste; </w:t>
      </w:r>
    </w:p>
    <w:p w14:paraId="6EF50764" w14:textId="77777777" w:rsidR="00D274E0" w:rsidRPr="00D274E0" w:rsidRDefault="00D274E0" w:rsidP="00D274E0">
      <w:pPr>
        <w:jc w:val="both"/>
        <w:rPr>
          <w:rFonts w:eastAsia="Calibri" w:cs="Times New Roman"/>
        </w:rPr>
      </w:pPr>
      <w:r w:rsidRPr="00D274E0">
        <w:rPr>
          <w:rFonts w:eastAsia="Calibri" w:cs="Times New Roman"/>
        </w:rPr>
        <w:t xml:space="preserve">ix) Noise method statements and noise levels for each construction activity including any piling and excavation operations; </w:t>
      </w:r>
    </w:p>
    <w:p w14:paraId="49297459" w14:textId="33B9EB86" w:rsidR="00D274E0" w:rsidRDefault="00D274E0" w:rsidP="00D274E0">
      <w:pPr>
        <w:jc w:val="both"/>
        <w:rPr>
          <w:rFonts w:eastAsia="Calibri" w:cs="Times New Roman"/>
        </w:rPr>
      </w:pPr>
      <w:r w:rsidRPr="00D274E0">
        <w:rPr>
          <w:rFonts w:eastAsia="Calibri" w:cs="Times New Roman"/>
        </w:rPr>
        <w:t>x) Access and protection measures around the construction site for pedestrians, cyclists and other road users including arrangements for diversions during the construction period and for the provision of associated directional signage relating thereto.</w:t>
      </w:r>
    </w:p>
    <w:p w14:paraId="7E8D3431" w14:textId="77777777" w:rsidR="007A7387" w:rsidRPr="00055E6A" w:rsidRDefault="007A7387" w:rsidP="00D274E0">
      <w:pPr>
        <w:jc w:val="both"/>
        <w:rPr>
          <w:rFonts w:eastAsia="Calibri" w:cs="Times New Roman"/>
          <w:sz w:val="20"/>
          <w:szCs w:val="20"/>
        </w:rPr>
      </w:pPr>
    </w:p>
    <w:p w14:paraId="70905A83" w14:textId="75CF6FBC" w:rsidR="00D274E0" w:rsidRDefault="00D274E0" w:rsidP="00D274E0">
      <w:pPr>
        <w:jc w:val="both"/>
        <w:rPr>
          <w:rFonts w:eastAsia="Calibri" w:cs="Times New Roman"/>
        </w:rPr>
      </w:pPr>
      <w:r w:rsidRPr="00D274E0">
        <w:rPr>
          <w:rFonts w:eastAsia="Calibri" w:cs="Times New Roman"/>
        </w:rPr>
        <w:t>Reason: To ensure the satisfactory development of the site and to protect the amenity of occupiers of adjacent properties from noise and disturbance, in accordance with policies DM2 and DM14 of the West Suffolk Joint Development Management Policies Document 2015, Chapter 15 of the National Planning Policy Framework and all relevant Core Strategy Policies. This condition requires matters to be agreed prior to commencement to ensure that appropriate arrangements are put into place before any works take place on site that are likely to impact the area and nearby occupiers.</w:t>
      </w:r>
    </w:p>
    <w:p w14:paraId="68389E8B" w14:textId="36178BFA" w:rsidR="00D274E0" w:rsidRDefault="00D274E0" w:rsidP="00D274E0">
      <w:pPr>
        <w:jc w:val="both"/>
        <w:rPr>
          <w:rFonts w:eastAsia="Calibri" w:cs="Times New Roman"/>
        </w:rPr>
      </w:pPr>
      <w:r w:rsidRPr="00D274E0">
        <w:rPr>
          <w:rFonts w:eastAsia="Calibri" w:cs="Times New Roman"/>
          <w:b/>
          <w:bCs/>
        </w:rPr>
        <w:lastRenderedPageBreak/>
        <w:t>2.</w:t>
      </w:r>
      <w:r w:rsidRPr="00D274E0">
        <w:rPr>
          <w:rFonts w:eastAsia="Calibri" w:cs="Times New Roman"/>
        </w:rPr>
        <w:t xml:space="preserve"> Any site preparation, construction works and ancillary activities, including access road works and deliveries to / collections from the site </w:t>
      </w:r>
      <w:r w:rsidR="00C15BF1">
        <w:rPr>
          <w:rFonts w:eastAsia="Calibri" w:cs="Times New Roman"/>
        </w:rPr>
        <w:t xml:space="preserve">in connection with the development </w:t>
      </w:r>
      <w:r w:rsidRPr="00D274E0">
        <w:rPr>
          <w:rFonts w:eastAsia="Calibri" w:cs="Times New Roman"/>
        </w:rPr>
        <w:t>shall only be carried out between the hours of:</w:t>
      </w:r>
    </w:p>
    <w:p w14:paraId="471F5F55" w14:textId="77777777" w:rsidR="00291C86" w:rsidRDefault="00291C86" w:rsidP="00D274E0">
      <w:pPr>
        <w:jc w:val="both"/>
        <w:rPr>
          <w:rFonts w:eastAsia="Calibri" w:cs="Times New Roman"/>
        </w:rPr>
      </w:pPr>
    </w:p>
    <w:p w14:paraId="5F271D2D" w14:textId="77777777" w:rsidR="00D274E0" w:rsidRPr="00D274E0" w:rsidRDefault="00D274E0" w:rsidP="00D274E0">
      <w:pPr>
        <w:rPr>
          <w:rFonts w:eastAsia="Calibri" w:cs="Times New Roman"/>
        </w:rPr>
      </w:pPr>
      <w:r w:rsidRPr="00D274E0">
        <w:rPr>
          <w:rFonts w:eastAsia="Calibri" w:cs="Times New Roman"/>
        </w:rPr>
        <w:t>08:00 to 18:00 Mondays to Fridays</w:t>
      </w:r>
    </w:p>
    <w:p w14:paraId="7A9729A6" w14:textId="19991201" w:rsidR="00D274E0" w:rsidRDefault="00D274E0" w:rsidP="00D274E0">
      <w:pPr>
        <w:rPr>
          <w:rFonts w:eastAsia="Calibri" w:cs="Times New Roman"/>
        </w:rPr>
      </w:pPr>
      <w:r w:rsidRPr="00D274E0">
        <w:rPr>
          <w:rFonts w:eastAsia="Calibri" w:cs="Times New Roman"/>
        </w:rPr>
        <w:t xml:space="preserve">08:00 to 13.00 Saturdays </w:t>
      </w:r>
    </w:p>
    <w:p w14:paraId="205466D7" w14:textId="77777777" w:rsidR="00291C86" w:rsidRDefault="00291C86" w:rsidP="00D274E0">
      <w:pPr>
        <w:rPr>
          <w:rFonts w:eastAsia="Calibri" w:cs="Times New Roman"/>
        </w:rPr>
      </w:pPr>
    </w:p>
    <w:p w14:paraId="1425D180" w14:textId="77777777" w:rsidR="00D274E0" w:rsidRPr="00D274E0" w:rsidRDefault="00D274E0" w:rsidP="00D274E0">
      <w:pPr>
        <w:jc w:val="both"/>
        <w:rPr>
          <w:rFonts w:eastAsia="Calibri" w:cs="Times New Roman"/>
        </w:rPr>
      </w:pPr>
      <w:r w:rsidRPr="00D274E0">
        <w:rPr>
          <w:rFonts w:eastAsia="Calibri" w:cs="Times New Roman"/>
        </w:rPr>
        <w:t>And at no times during Sundays or Bank / Public Holidays without the prior written consent of the Local Planning Authority.</w:t>
      </w:r>
    </w:p>
    <w:p w14:paraId="09E2C949" w14:textId="77777777" w:rsidR="00D274E0" w:rsidRPr="00D274E0" w:rsidRDefault="00D274E0" w:rsidP="00D274E0">
      <w:pPr>
        <w:rPr>
          <w:rFonts w:eastAsia="Calibri" w:cs="Times New Roman"/>
          <w:sz w:val="20"/>
          <w:szCs w:val="20"/>
        </w:rPr>
      </w:pPr>
    </w:p>
    <w:p w14:paraId="5C50A852" w14:textId="60F9FB9A" w:rsidR="00D274E0" w:rsidRDefault="00D274E0" w:rsidP="00D274E0">
      <w:pPr>
        <w:jc w:val="both"/>
        <w:rPr>
          <w:rFonts w:eastAsia="Calibri" w:cs="Times New Roman"/>
        </w:rPr>
      </w:pPr>
      <w:r w:rsidRPr="00D274E0">
        <w:rPr>
          <w:rFonts w:eastAsia="Calibri" w:cs="Times New Roman"/>
        </w:rPr>
        <w:t>Reason: To protect the amenity of occupiers of adjacent properties from noise and disturbance, in accordance with policies DM2 and DM14 of the West Suffolk Joint Development Management Policies.</w:t>
      </w:r>
    </w:p>
    <w:p w14:paraId="7136374E" w14:textId="47F4AEE9" w:rsidR="00291C86" w:rsidRDefault="00291C86" w:rsidP="00D274E0">
      <w:pPr>
        <w:jc w:val="both"/>
        <w:rPr>
          <w:rFonts w:eastAsia="Calibri" w:cs="Times New Roman"/>
        </w:rPr>
      </w:pPr>
    </w:p>
    <w:p w14:paraId="6F14B62A" w14:textId="00C1F697" w:rsidR="00471ADB" w:rsidRPr="00471ADB" w:rsidRDefault="00041B87" w:rsidP="00471ADB">
      <w:pPr>
        <w:jc w:val="both"/>
        <w:rPr>
          <w:rFonts w:eastAsia="Calibri" w:cs="Times New Roman"/>
        </w:rPr>
      </w:pPr>
      <w:r>
        <w:rPr>
          <w:rFonts w:eastAsia="Calibri" w:cs="Times New Roman"/>
          <w:b/>
          <w:bCs/>
        </w:rPr>
        <w:t>3</w:t>
      </w:r>
      <w:r w:rsidR="00471ADB">
        <w:rPr>
          <w:rFonts w:eastAsia="Calibri" w:cs="Times New Roman"/>
          <w:b/>
          <w:bCs/>
        </w:rPr>
        <w:t>.</w:t>
      </w:r>
      <w:r w:rsidR="00471ADB" w:rsidRPr="00471ADB">
        <w:rPr>
          <w:rFonts w:eastAsia="Calibri" w:cs="Times New Roman"/>
        </w:rPr>
        <w:t xml:space="preserve"> The building envelope, glazing and ventilation of the dwellings hereby permitted shall be constructed so as to provide appropriate sound attenuation against noise. The acoustic insulation of the dwelling shall be such to ensure noise does not exceed an LAeq (16hrs) of 35dB (A) within bedrooms and living rooms between 07:00 and 23:00hrs and an LAeq (8hrs) of 30dB(A) within bedrooms and living rooms between 23:00 and 07:00hrs. The noise levels specified in this condition shall be achieved with the windows closed and other means of ventilation provided as necessary.</w:t>
      </w:r>
    </w:p>
    <w:p w14:paraId="089D5203" w14:textId="77777777" w:rsidR="00471ADB" w:rsidRPr="00471ADB" w:rsidRDefault="00471ADB" w:rsidP="00471ADB">
      <w:pPr>
        <w:jc w:val="both"/>
        <w:rPr>
          <w:rFonts w:eastAsia="Calibri" w:cs="Times New Roman"/>
        </w:rPr>
      </w:pPr>
    </w:p>
    <w:p w14:paraId="791A146E" w14:textId="165FEE2C" w:rsidR="00471ADB" w:rsidRDefault="00471ADB" w:rsidP="00471ADB">
      <w:pPr>
        <w:jc w:val="both"/>
        <w:rPr>
          <w:rFonts w:eastAsia="Calibri" w:cs="Times New Roman"/>
        </w:rPr>
      </w:pPr>
      <w:r w:rsidRPr="00471ADB">
        <w:rPr>
          <w:rFonts w:eastAsia="Calibri" w:cs="Times New Roman"/>
        </w:rPr>
        <w:t>Reason: To protect the amenities of future occupiers of the dwellings, in accordance with policies DM2 and DM14 of the West Suffolk Joint Development Management Policies Document 2015, Chapters 12 and 15 of the National Planning Policy Framework and all relevant Core Strategy Policies.</w:t>
      </w:r>
    </w:p>
    <w:p w14:paraId="17EA7785" w14:textId="18F7F8F8" w:rsidR="00471ADB" w:rsidRDefault="00471ADB" w:rsidP="00D274E0">
      <w:pPr>
        <w:jc w:val="both"/>
        <w:rPr>
          <w:rFonts w:eastAsia="Calibri" w:cs="Times New Roman"/>
        </w:rPr>
      </w:pPr>
    </w:p>
    <w:p w14:paraId="20A2215A" w14:textId="44CF9029" w:rsidR="00D274E0" w:rsidRPr="00D274E0" w:rsidRDefault="00D274E0" w:rsidP="00D274E0">
      <w:pPr>
        <w:rPr>
          <w:rFonts w:eastAsia="Calibri" w:cs="Times New Roman"/>
          <w:b/>
          <w:bCs/>
        </w:rPr>
      </w:pPr>
      <w:r w:rsidRPr="00D274E0">
        <w:rPr>
          <w:rFonts w:eastAsia="Calibri" w:cs="Times New Roman"/>
          <w:b/>
          <w:bCs/>
        </w:rPr>
        <w:t>INFORMATIVE</w:t>
      </w:r>
    </w:p>
    <w:p w14:paraId="06E64B5F" w14:textId="77777777" w:rsidR="00D274E0" w:rsidRPr="00D274E0" w:rsidRDefault="00D274E0" w:rsidP="00D274E0">
      <w:pPr>
        <w:rPr>
          <w:rFonts w:eastAsia="Calibri" w:cs="Times New Roman"/>
        </w:rPr>
      </w:pPr>
    </w:p>
    <w:p w14:paraId="62312288" w14:textId="77777777" w:rsidR="00BB34A4" w:rsidRPr="00BB34A4" w:rsidRDefault="00BB34A4" w:rsidP="00BB34A4">
      <w:pPr>
        <w:jc w:val="both"/>
        <w:rPr>
          <w:rFonts w:eastAsia="Calibri" w:cs="Times New Roman"/>
        </w:rPr>
      </w:pPr>
      <w:r w:rsidRPr="00BB34A4">
        <w:rPr>
          <w:rFonts w:eastAsia="Calibri" w:cs="Times New Roman"/>
        </w:rPr>
        <w:t>Noise, Vibration and Dust</w:t>
      </w:r>
    </w:p>
    <w:p w14:paraId="7794B95C" w14:textId="2C9E6CB6" w:rsidR="00BB34A4" w:rsidRDefault="00BB34A4" w:rsidP="00BB34A4">
      <w:pPr>
        <w:jc w:val="both"/>
        <w:rPr>
          <w:rFonts w:eastAsia="Calibri" w:cs="Times New Roman"/>
        </w:rPr>
      </w:pPr>
      <w:r w:rsidRPr="00BB34A4">
        <w:rPr>
          <w:rFonts w:eastAsia="Calibri" w:cs="Times New Roman"/>
        </w:rPr>
        <w:t>The principal contractor and any sub-contractors must ensure compliance with current legislation on noise, vibration and dust control including the Environmental Protection Act 1990 and the Control of Pollution Act 1974. Relevant Codes of Practice set out procedures for dealing with the control of noise and vibration on construction and open sites are contained in BS 5228-1:2009+A1:2014 ‘</w:t>
      </w:r>
      <w:r w:rsidRPr="00BB34A4">
        <w:rPr>
          <w:rFonts w:eastAsia="Calibri" w:cs="Times New Roman"/>
          <w:i/>
          <w:iCs/>
        </w:rPr>
        <w:t>Code of practice for noise and vibration control on construction and open sites</w:t>
      </w:r>
      <w:r w:rsidRPr="00BB34A4">
        <w:rPr>
          <w:rFonts w:eastAsia="Calibri" w:cs="Times New Roman"/>
        </w:rPr>
        <w:t>’.</w:t>
      </w:r>
    </w:p>
    <w:p w14:paraId="54BD46D3" w14:textId="7C52FC24" w:rsidR="00055E6A" w:rsidRDefault="00055E6A" w:rsidP="00BB34A4">
      <w:pPr>
        <w:jc w:val="both"/>
        <w:rPr>
          <w:rFonts w:eastAsia="Calibri" w:cs="Times New Roman"/>
        </w:rPr>
      </w:pPr>
    </w:p>
    <w:p w14:paraId="635F3BEE" w14:textId="77777777" w:rsidR="00872C83" w:rsidRPr="00872C83" w:rsidRDefault="00872C83" w:rsidP="00872C83">
      <w:pPr>
        <w:jc w:val="both"/>
        <w:rPr>
          <w:rFonts w:eastAsia="Calibri" w:cs="Times New Roman"/>
        </w:rPr>
      </w:pPr>
      <w:r w:rsidRPr="00872C83">
        <w:rPr>
          <w:rFonts w:eastAsia="Calibri" w:cs="Times New Roman"/>
        </w:rPr>
        <w:t>ENDS</w:t>
      </w:r>
    </w:p>
    <w:p w14:paraId="578B15D7" w14:textId="77777777" w:rsidR="00872C83" w:rsidRPr="00872C83" w:rsidRDefault="00872C83" w:rsidP="00872C83">
      <w:pPr>
        <w:jc w:val="both"/>
        <w:rPr>
          <w:rFonts w:eastAsia="Calibri" w:cs="Times New Roman"/>
        </w:rPr>
      </w:pPr>
    </w:p>
    <w:p w14:paraId="0DD1C707" w14:textId="77777777" w:rsidR="00872C83" w:rsidRPr="00872C83" w:rsidRDefault="00872C83" w:rsidP="00872C83">
      <w:pPr>
        <w:jc w:val="both"/>
        <w:rPr>
          <w:rFonts w:eastAsia="Calibri" w:cs="Times New Roman"/>
        </w:rPr>
      </w:pPr>
      <w:r w:rsidRPr="00872C83">
        <w:rPr>
          <w:rFonts w:eastAsia="Calibri" w:cs="Times New Roman"/>
        </w:rPr>
        <w:t>Kindest regards,</w:t>
      </w:r>
    </w:p>
    <w:p w14:paraId="43CD1CED" w14:textId="77777777" w:rsidR="00872C83" w:rsidRPr="00872C83" w:rsidRDefault="00872C83" w:rsidP="00872C83">
      <w:pPr>
        <w:jc w:val="both"/>
        <w:rPr>
          <w:rFonts w:eastAsia="Calibri" w:cs="Times New Roman"/>
        </w:rPr>
      </w:pPr>
    </w:p>
    <w:p w14:paraId="2EDB9195" w14:textId="77777777" w:rsidR="00872C83" w:rsidRPr="00872C83" w:rsidRDefault="00872C83" w:rsidP="00872C83">
      <w:pPr>
        <w:jc w:val="both"/>
        <w:rPr>
          <w:rFonts w:eastAsia="Calibri" w:cs="Times New Roman"/>
        </w:rPr>
      </w:pPr>
      <w:r w:rsidRPr="00872C83">
        <w:rPr>
          <w:rFonts w:eastAsia="Calibri" w:cs="Times New Roman"/>
        </w:rPr>
        <w:t>Dom</w:t>
      </w:r>
    </w:p>
    <w:p w14:paraId="386CC0AB" w14:textId="77777777" w:rsidR="00872C83" w:rsidRPr="00872C83" w:rsidRDefault="00872C83" w:rsidP="00872C83">
      <w:pPr>
        <w:jc w:val="both"/>
        <w:rPr>
          <w:rFonts w:eastAsia="Calibri" w:cs="Times New Roman"/>
        </w:rPr>
      </w:pPr>
    </w:p>
    <w:p w14:paraId="3F283B29" w14:textId="77777777" w:rsidR="00872C83" w:rsidRPr="00872C83" w:rsidRDefault="00872C83" w:rsidP="00872C83">
      <w:pPr>
        <w:jc w:val="both"/>
        <w:rPr>
          <w:rFonts w:eastAsia="Calibri" w:cs="Times New Roman"/>
        </w:rPr>
      </w:pPr>
    </w:p>
    <w:p w14:paraId="057261F9" w14:textId="77777777" w:rsidR="00872C83" w:rsidRPr="00872C83" w:rsidRDefault="00872C83" w:rsidP="00872C83">
      <w:pPr>
        <w:jc w:val="both"/>
        <w:rPr>
          <w:rFonts w:eastAsia="Calibri" w:cs="Times New Roman"/>
        </w:rPr>
      </w:pPr>
      <w:r w:rsidRPr="00872C83">
        <w:rPr>
          <w:rFonts w:eastAsia="Calibri" w:cs="Times New Roman"/>
        </w:rPr>
        <w:t xml:space="preserve">Dom Stagg </w:t>
      </w:r>
    </w:p>
    <w:p w14:paraId="1DACB377" w14:textId="4028D08D" w:rsidR="00872C83" w:rsidRPr="00F5028D" w:rsidRDefault="00872C83" w:rsidP="00D274E0">
      <w:pPr>
        <w:jc w:val="both"/>
        <w:rPr>
          <w:rFonts w:eastAsia="Calibri" w:cs="Times New Roman"/>
          <w:b/>
          <w:bCs/>
        </w:rPr>
      </w:pPr>
      <w:r w:rsidRPr="00872C83">
        <w:rPr>
          <w:rFonts w:eastAsia="Calibri" w:cs="Times New Roman"/>
          <w:b/>
          <w:bCs/>
        </w:rPr>
        <w:t>Environmental Health Officer (PSH &amp; EH)</w:t>
      </w:r>
    </w:p>
    <w:sectPr w:rsidR="00872C83" w:rsidRPr="00F5028D" w:rsidSect="00711B39">
      <w:pgSz w:w="11906" w:h="16838"/>
      <w:pgMar w:top="1440"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arela Round">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BCDC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249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E2B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84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CE8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64F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FCBE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4EF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E4C7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6A73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12B8"/>
    <w:multiLevelType w:val="multilevel"/>
    <w:tmpl w:val="2C6CB044"/>
    <w:styleLink w:val="WSNumberedStyle1"/>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Symbol" w:hAnsi="Symbo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bullet"/>
      <w:lvlText w:val=""/>
      <w:lvlJc w:val="left"/>
      <w:pPr>
        <w:ind w:left="2142" w:hanging="357"/>
      </w:pPr>
      <w:rPr>
        <w:rFonts w:ascii="Symbol" w:hAnsi="Symbol"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bullet"/>
      <w:lvlText w:val=""/>
      <w:lvlJc w:val="left"/>
      <w:pPr>
        <w:ind w:left="3213" w:hanging="357"/>
      </w:pPr>
      <w:rPr>
        <w:rFonts w:ascii="Symbol" w:hAnsi="Symbol" w:hint="default"/>
      </w:rPr>
    </w:lvl>
  </w:abstractNum>
  <w:abstractNum w:abstractNumId="11" w15:restartNumberingAfterBreak="0">
    <w:nsid w:val="0BF30B20"/>
    <w:multiLevelType w:val="multilevel"/>
    <w:tmpl w:val="FA563E8A"/>
    <w:numStyleLink w:val="WSNumberedStyle2"/>
  </w:abstractNum>
  <w:abstractNum w:abstractNumId="12" w15:restartNumberingAfterBreak="0">
    <w:nsid w:val="0DD2722C"/>
    <w:multiLevelType w:val="multilevel"/>
    <w:tmpl w:val="7E062008"/>
    <w:numStyleLink w:val="WSNumberedStyle3"/>
  </w:abstractNum>
  <w:abstractNum w:abstractNumId="13" w15:restartNumberingAfterBreak="0">
    <w:nsid w:val="0E882F5C"/>
    <w:multiLevelType w:val="multilevel"/>
    <w:tmpl w:val="FA563E8A"/>
    <w:numStyleLink w:val="WSNumberedStyle2"/>
  </w:abstractNum>
  <w:abstractNum w:abstractNumId="14" w15:restartNumberingAfterBreak="0">
    <w:nsid w:val="12D520DD"/>
    <w:multiLevelType w:val="multilevel"/>
    <w:tmpl w:val="1ACC7B5A"/>
    <w:numStyleLink w:val="WSBulletStyle1"/>
  </w:abstractNum>
  <w:abstractNum w:abstractNumId="15" w15:restartNumberingAfterBreak="0">
    <w:nsid w:val="14B34D19"/>
    <w:multiLevelType w:val="multilevel"/>
    <w:tmpl w:val="1ACC7B5A"/>
    <w:numStyleLink w:val="WSBulletStyle1"/>
  </w:abstractNum>
  <w:abstractNum w:abstractNumId="16" w15:restartNumberingAfterBreak="0">
    <w:nsid w:val="19627568"/>
    <w:multiLevelType w:val="hybridMultilevel"/>
    <w:tmpl w:val="839EEA2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3967A3"/>
    <w:multiLevelType w:val="multilevel"/>
    <w:tmpl w:val="FA563E8A"/>
    <w:numStyleLink w:val="WSNumberedStyle2"/>
  </w:abstractNum>
  <w:abstractNum w:abstractNumId="18" w15:restartNumberingAfterBreak="0">
    <w:nsid w:val="2A0C3698"/>
    <w:multiLevelType w:val="hybridMultilevel"/>
    <w:tmpl w:val="3F06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433AC5"/>
    <w:multiLevelType w:val="hybridMultilevel"/>
    <w:tmpl w:val="C8CE0FE4"/>
    <w:lvl w:ilvl="0" w:tplc="2CBEE0D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E87DF8"/>
    <w:multiLevelType w:val="multilevel"/>
    <w:tmpl w:val="7E062008"/>
    <w:numStyleLink w:val="WSNumberedStyle3"/>
  </w:abstractNum>
  <w:abstractNum w:abstractNumId="21" w15:restartNumberingAfterBreak="0">
    <w:nsid w:val="32924DD6"/>
    <w:multiLevelType w:val="hybridMultilevel"/>
    <w:tmpl w:val="9E444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0D34F4"/>
    <w:multiLevelType w:val="multilevel"/>
    <w:tmpl w:val="FA563E8A"/>
    <w:numStyleLink w:val="WSNumberedStyle2"/>
  </w:abstractNum>
  <w:abstractNum w:abstractNumId="23" w15:restartNumberingAfterBreak="0">
    <w:nsid w:val="397036AB"/>
    <w:multiLevelType w:val="hybridMultilevel"/>
    <w:tmpl w:val="7CCAD300"/>
    <w:lvl w:ilvl="0" w:tplc="08090001">
      <w:start w:val="1"/>
      <w:numFmt w:val="bullet"/>
      <w:lvlText w:val=""/>
      <w:lvlJc w:val="left"/>
      <w:pPr>
        <w:ind w:left="284" w:hanging="284"/>
      </w:pPr>
      <w:rPr>
        <w:rFonts w:ascii="Symbol" w:hAnsi="Symbol" w:hint="default"/>
      </w:rPr>
    </w:lvl>
    <w:lvl w:ilvl="1" w:tplc="1D500136">
      <w:start w:val="1"/>
      <w:numFmt w:val="bullet"/>
      <w:lvlText w:val="o"/>
      <w:lvlJc w:val="left"/>
      <w:pPr>
        <w:ind w:left="567" w:hanging="283"/>
      </w:pPr>
      <w:rPr>
        <w:rFonts w:ascii="Courier New" w:hAnsi="Courier New" w:hint="default"/>
      </w:rPr>
    </w:lvl>
    <w:lvl w:ilvl="2" w:tplc="79C8515E">
      <w:start w:val="1"/>
      <w:numFmt w:val="bullet"/>
      <w:lvlText w:val=""/>
      <w:lvlJc w:val="left"/>
      <w:pPr>
        <w:ind w:left="851" w:hanging="284"/>
      </w:pPr>
      <w:rPr>
        <w:rFonts w:ascii="Wingdings" w:hAnsi="Wingdings" w:hint="default"/>
      </w:rPr>
    </w:lvl>
    <w:lvl w:ilvl="3" w:tplc="6A8CD446">
      <w:start w:val="1"/>
      <w:numFmt w:val="bullet"/>
      <w:lvlText w:val=""/>
      <w:lvlJc w:val="left"/>
      <w:pPr>
        <w:ind w:left="1134" w:hanging="283"/>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54457D"/>
    <w:multiLevelType w:val="multilevel"/>
    <w:tmpl w:val="1ACC7B5A"/>
    <w:styleLink w:val="WSBulletStyle1"/>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4DE93929"/>
    <w:multiLevelType w:val="multilevel"/>
    <w:tmpl w:val="7E062008"/>
    <w:numStyleLink w:val="WSNumberedStyle3"/>
  </w:abstractNum>
  <w:abstractNum w:abstractNumId="26" w15:restartNumberingAfterBreak="0">
    <w:nsid w:val="511E3135"/>
    <w:multiLevelType w:val="multilevel"/>
    <w:tmpl w:val="FA563E8A"/>
    <w:numStyleLink w:val="WSNumberedStyle2"/>
  </w:abstractNum>
  <w:abstractNum w:abstractNumId="27" w15:restartNumberingAfterBreak="0">
    <w:nsid w:val="526378F4"/>
    <w:multiLevelType w:val="multilevel"/>
    <w:tmpl w:val="2C6CB044"/>
    <w:numStyleLink w:val="WSNumberedStyle1"/>
  </w:abstractNum>
  <w:abstractNum w:abstractNumId="28" w15:restartNumberingAfterBreak="0">
    <w:nsid w:val="561B0393"/>
    <w:multiLevelType w:val="multilevel"/>
    <w:tmpl w:val="2C6CB044"/>
    <w:numStyleLink w:val="WSNumberedStyle1"/>
  </w:abstractNum>
  <w:abstractNum w:abstractNumId="29" w15:restartNumberingAfterBreak="0">
    <w:nsid w:val="5E286AC2"/>
    <w:multiLevelType w:val="multilevel"/>
    <w:tmpl w:val="FA563E8A"/>
    <w:numStyleLink w:val="WSNumberedStyle2"/>
  </w:abstractNum>
  <w:abstractNum w:abstractNumId="30" w15:restartNumberingAfterBreak="0">
    <w:nsid w:val="6062577B"/>
    <w:multiLevelType w:val="multilevel"/>
    <w:tmpl w:val="FA563E8A"/>
    <w:numStyleLink w:val="WSNumberedStyle2"/>
  </w:abstractNum>
  <w:abstractNum w:abstractNumId="31" w15:restartNumberingAfterBreak="0">
    <w:nsid w:val="68170803"/>
    <w:multiLevelType w:val="multilevel"/>
    <w:tmpl w:val="FA563E8A"/>
    <w:styleLink w:val="WSNumberedStyle2"/>
    <w:lvl w:ilvl="0">
      <w:start w:val="1"/>
      <w:numFmt w:val="decimal"/>
      <w:lvlText w:val="%1."/>
      <w:lvlJc w:val="left"/>
      <w:pPr>
        <w:ind w:left="357" w:hanging="357"/>
      </w:pPr>
      <w:rPr>
        <w:rFonts w:hint="default"/>
      </w:rPr>
    </w:lvl>
    <w:lvl w:ilvl="1">
      <w:start w:val="1"/>
      <w:numFmt w:val="decimal"/>
      <w:lvlText w:val="%1.%2."/>
      <w:lvlJc w:val="left"/>
      <w:pPr>
        <w:ind w:left="947" w:hanging="590"/>
      </w:pPr>
      <w:rPr>
        <w:rFonts w:hint="default"/>
      </w:rPr>
    </w:lvl>
    <w:lvl w:ilvl="2">
      <w:start w:val="1"/>
      <w:numFmt w:val="decimal"/>
      <w:lvlText w:val="%1.%2.%3."/>
      <w:lvlJc w:val="left"/>
      <w:pPr>
        <w:ind w:left="1769" w:hanging="822"/>
      </w:pPr>
      <w:rPr>
        <w:rFonts w:hint="default"/>
      </w:rPr>
    </w:lvl>
    <w:lvl w:ilvl="3">
      <w:start w:val="1"/>
      <w:numFmt w:val="decimal"/>
      <w:lvlText w:val="%1.%2.%3.%4."/>
      <w:lvlJc w:val="left"/>
      <w:pPr>
        <w:ind w:left="2824" w:hanging="1055"/>
      </w:pPr>
      <w:rPr>
        <w:rFonts w:hint="default"/>
      </w:rPr>
    </w:lvl>
    <w:lvl w:ilvl="4">
      <w:start w:val="1"/>
      <w:numFmt w:val="decimal"/>
      <w:lvlText w:val="%1.%2.%3.%4.%5."/>
      <w:lvlJc w:val="left"/>
      <w:pPr>
        <w:tabs>
          <w:tab w:val="num" w:pos="2892"/>
        </w:tabs>
        <w:ind w:left="4111" w:hanging="1287"/>
      </w:pPr>
      <w:rPr>
        <w:rFonts w:hint="default"/>
      </w:rPr>
    </w:lvl>
    <w:lvl w:ilvl="5">
      <w:start w:val="1"/>
      <w:numFmt w:val="decimal"/>
      <w:lvlText w:val="%1.%2.%3.%4.%5.%6."/>
      <w:lvlJc w:val="left"/>
      <w:pPr>
        <w:tabs>
          <w:tab w:val="num" w:pos="5630"/>
        </w:tabs>
        <w:ind w:left="5630" w:hanging="1519"/>
      </w:pPr>
      <w:rPr>
        <w:rFonts w:hint="default"/>
      </w:rPr>
    </w:lvl>
    <w:lvl w:ilvl="6">
      <w:start w:val="1"/>
      <w:numFmt w:val="decimal"/>
      <w:lvlText w:val="%1.%2.%3.%4.%5.%6.%7."/>
      <w:lvlJc w:val="left"/>
      <w:pPr>
        <w:tabs>
          <w:tab w:val="num" w:pos="5971"/>
        </w:tabs>
        <w:ind w:left="7382" w:hanging="1752"/>
      </w:pPr>
      <w:rPr>
        <w:rFonts w:hint="default"/>
      </w:rPr>
    </w:lvl>
    <w:lvl w:ilvl="7">
      <w:start w:val="1"/>
      <w:numFmt w:val="decimal"/>
      <w:lvlText w:val="%1.%2.%3.%4.%5.%6.%7.%8."/>
      <w:lvlJc w:val="left"/>
      <w:pPr>
        <w:tabs>
          <w:tab w:val="num" w:pos="8165"/>
        </w:tabs>
        <w:ind w:left="7615" w:hanging="1985"/>
      </w:pPr>
      <w:rPr>
        <w:rFonts w:hint="default"/>
      </w:rPr>
    </w:lvl>
    <w:lvl w:ilvl="8">
      <w:start w:val="1"/>
      <w:numFmt w:val="decimal"/>
      <w:lvlText w:val="%1.%2.%3.%4.%5.%6.%7.%8.%9."/>
      <w:lvlJc w:val="left"/>
      <w:pPr>
        <w:ind w:left="7847" w:hanging="2217"/>
      </w:pPr>
      <w:rPr>
        <w:rFonts w:hint="default"/>
      </w:rPr>
    </w:lvl>
  </w:abstractNum>
  <w:abstractNum w:abstractNumId="32" w15:restartNumberingAfterBreak="0">
    <w:nsid w:val="6AF87F2D"/>
    <w:multiLevelType w:val="multilevel"/>
    <w:tmpl w:val="FA563E8A"/>
    <w:numStyleLink w:val="WSNumberedStyle2"/>
  </w:abstractNum>
  <w:abstractNum w:abstractNumId="33" w15:restartNumberingAfterBreak="0">
    <w:nsid w:val="6F5D22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8D5D09"/>
    <w:multiLevelType w:val="multilevel"/>
    <w:tmpl w:val="7E062008"/>
    <w:styleLink w:val="WSNumberedStyle3"/>
    <w:lvl w:ilvl="0">
      <w:start w:val="1"/>
      <w:numFmt w:val="decimal"/>
      <w:lvlText w:val="%1."/>
      <w:lvlJc w:val="left"/>
      <w:pPr>
        <w:ind w:left="357" w:hanging="357"/>
      </w:pPr>
      <w:rPr>
        <w:rFonts w:hint="default"/>
      </w:rPr>
    </w:lvl>
    <w:lvl w:ilvl="1">
      <w:start w:val="1"/>
      <w:numFmt w:val="bullet"/>
      <w:lvlText w:val=""/>
      <w:lvlJc w:val="left"/>
      <w:pPr>
        <w:ind w:left="714" w:hanging="357"/>
      </w:pPr>
      <w:rPr>
        <w:rFonts w:ascii="Symbol" w:hAnsi="Symbol"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bullet"/>
      <w:lvlText w:val=""/>
      <w:lvlJc w:val="left"/>
      <w:pPr>
        <w:ind w:left="1785" w:hanging="357"/>
      </w:pPr>
      <w:rPr>
        <w:rFonts w:ascii="Symbol" w:hAnsi="Symbol" w:hint="default"/>
      </w:rPr>
    </w:lvl>
    <w:lvl w:ilvl="5">
      <w:start w:val="1"/>
      <w:numFmt w:val="lowerLetter"/>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bullet"/>
      <w:lvlText w:val=""/>
      <w:lvlJc w:val="left"/>
      <w:pPr>
        <w:ind w:left="2856" w:hanging="357"/>
      </w:pPr>
      <w:rPr>
        <w:rFonts w:ascii="Symbol" w:hAnsi="Symbol" w:hint="default"/>
      </w:rPr>
    </w:lvl>
    <w:lvl w:ilvl="8">
      <w:start w:val="1"/>
      <w:numFmt w:val="lowerLetter"/>
      <w:lvlText w:val="%9."/>
      <w:lvlJc w:val="left"/>
      <w:pPr>
        <w:ind w:left="3213" w:hanging="357"/>
      </w:pPr>
      <w:rPr>
        <w:rFonts w:hint="default"/>
      </w:rPr>
    </w:lvl>
  </w:abstractNum>
  <w:abstractNum w:abstractNumId="35" w15:restartNumberingAfterBreak="0">
    <w:nsid w:val="7935413B"/>
    <w:multiLevelType w:val="multilevel"/>
    <w:tmpl w:val="1ACC7B5A"/>
    <w:numStyleLink w:val="WSBulletStyle1"/>
  </w:abstractNum>
  <w:abstractNum w:abstractNumId="36" w15:restartNumberingAfterBreak="0">
    <w:nsid w:val="7DFC6DD4"/>
    <w:multiLevelType w:val="hybridMultilevel"/>
    <w:tmpl w:val="3BD6C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9261616">
    <w:abstractNumId w:val="9"/>
  </w:num>
  <w:num w:numId="2" w16cid:durableId="1854612543">
    <w:abstractNumId w:val="7"/>
  </w:num>
  <w:num w:numId="3" w16cid:durableId="230627174">
    <w:abstractNumId w:val="6"/>
  </w:num>
  <w:num w:numId="4" w16cid:durableId="1102142176">
    <w:abstractNumId w:val="5"/>
  </w:num>
  <w:num w:numId="5" w16cid:durableId="86923095">
    <w:abstractNumId w:val="4"/>
  </w:num>
  <w:num w:numId="6" w16cid:durableId="1143430228">
    <w:abstractNumId w:val="8"/>
  </w:num>
  <w:num w:numId="7" w16cid:durableId="1533568803">
    <w:abstractNumId w:val="3"/>
  </w:num>
  <w:num w:numId="8" w16cid:durableId="568198301">
    <w:abstractNumId w:val="2"/>
  </w:num>
  <w:num w:numId="9" w16cid:durableId="1708720177">
    <w:abstractNumId w:val="1"/>
  </w:num>
  <w:num w:numId="10" w16cid:durableId="266351494">
    <w:abstractNumId w:val="0"/>
  </w:num>
  <w:num w:numId="11" w16cid:durableId="168065310">
    <w:abstractNumId w:val="18"/>
  </w:num>
  <w:num w:numId="12" w16cid:durableId="1766996631">
    <w:abstractNumId w:val="19"/>
  </w:num>
  <w:num w:numId="13" w16cid:durableId="419721693">
    <w:abstractNumId w:val="23"/>
  </w:num>
  <w:num w:numId="14" w16cid:durableId="493375302">
    <w:abstractNumId w:val="36"/>
  </w:num>
  <w:num w:numId="15" w16cid:durableId="217397743">
    <w:abstractNumId w:val="21"/>
  </w:num>
  <w:num w:numId="16" w16cid:durableId="1238591660">
    <w:abstractNumId w:val="33"/>
  </w:num>
  <w:num w:numId="17" w16cid:durableId="730345599">
    <w:abstractNumId w:val="16"/>
  </w:num>
  <w:num w:numId="18" w16cid:durableId="518743743">
    <w:abstractNumId w:val="24"/>
  </w:num>
  <w:num w:numId="19" w16cid:durableId="1075737496">
    <w:abstractNumId w:val="14"/>
  </w:num>
  <w:num w:numId="20" w16cid:durableId="1248150676">
    <w:abstractNumId w:val="35"/>
  </w:num>
  <w:num w:numId="21" w16cid:durableId="1247574767">
    <w:abstractNumId w:val="10"/>
  </w:num>
  <w:num w:numId="22" w16cid:durableId="1252621517">
    <w:abstractNumId w:val="28"/>
  </w:num>
  <w:num w:numId="23" w16cid:durableId="611590881">
    <w:abstractNumId w:val="27"/>
  </w:num>
  <w:num w:numId="24" w16cid:durableId="413629752">
    <w:abstractNumId w:val="31"/>
  </w:num>
  <w:num w:numId="25" w16cid:durableId="224417441">
    <w:abstractNumId w:val="13"/>
  </w:num>
  <w:num w:numId="26" w16cid:durableId="1254515690">
    <w:abstractNumId w:val="11"/>
  </w:num>
  <w:num w:numId="27" w16cid:durableId="632489574">
    <w:abstractNumId w:val="22"/>
  </w:num>
  <w:num w:numId="28" w16cid:durableId="1108617761">
    <w:abstractNumId w:val="29"/>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9" w16cid:durableId="857886109">
    <w:abstractNumId w:val="17"/>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956" w:hanging="1066"/>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0" w16cid:durableId="1172336560">
    <w:abstractNumId w:val="32"/>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423" w:hanging="533"/>
        </w:pPr>
        <w:rPr>
          <w:rFonts w:hint="default"/>
        </w:rPr>
      </w:lvl>
    </w:lvlOverride>
    <w:lvlOverride w:ilvl="3">
      <w:lvl w:ilvl="3">
        <w:start w:val="1"/>
        <w:numFmt w:val="decimal"/>
        <w:lvlText w:val="%1.%2.%3.%4."/>
        <w:lvlJc w:val="left"/>
        <w:pPr>
          <w:ind w:left="1956" w:hanging="533"/>
        </w:pPr>
        <w:rPr>
          <w:rFonts w:hint="default"/>
        </w:rPr>
      </w:lvl>
    </w:lvlOverride>
    <w:lvlOverride w:ilvl="4">
      <w:lvl w:ilvl="4">
        <w:start w:val="1"/>
        <w:numFmt w:val="decimal"/>
        <w:lvlText w:val="%1.%2.%3.%4.%5."/>
        <w:lvlJc w:val="left"/>
        <w:pPr>
          <w:tabs>
            <w:tab w:val="num" w:pos="2489"/>
          </w:tabs>
          <w:ind w:left="2489" w:hanging="533"/>
        </w:pPr>
        <w:rPr>
          <w:rFonts w:hint="default"/>
        </w:rPr>
      </w:lvl>
    </w:lvlOverride>
    <w:lvlOverride w:ilvl="5">
      <w:lvl w:ilvl="5">
        <w:start w:val="1"/>
        <w:numFmt w:val="decimal"/>
        <w:lvlText w:val="%1.%2.%3.%4.%5.%6."/>
        <w:lvlJc w:val="left"/>
        <w:pPr>
          <w:tabs>
            <w:tab w:val="num" w:pos="2489"/>
          </w:tabs>
          <w:ind w:left="3022" w:hanging="533"/>
        </w:pPr>
        <w:rPr>
          <w:rFonts w:hint="default"/>
        </w:rPr>
      </w:lvl>
    </w:lvlOverride>
    <w:lvlOverride w:ilvl="6">
      <w:lvl w:ilvl="6">
        <w:start w:val="1"/>
        <w:numFmt w:val="decimal"/>
        <w:lvlText w:val="%1.%2.%3.%4.%5.%6.%7."/>
        <w:lvlJc w:val="left"/>
        <w:pPr>
          <w:tabs>
            <w:tab w:val="num" w:pos="3022"/>
          </w:tabs>
          <w:ind w:left="3555" w:hanging="533"/>
        </w:pPr>
        <w:rPr>
          <w:rFonts w:hint="default"/>
        </w:rPr>
      </w:lvl>
    </w:lvlOverride>
    <w:lvlOverride w:ilvl="7">
      <w:lvl w:ilvl="7">
        <w:start w:val="1"/>
        <w:numFmt w:val="decimal"/>
        <w:lvlText w:val="%1.%2.%3.%4.%5.%6.%7.%8."/>
        <w:lvlJc w:val="left"/>
        <w:pPr>
          <w:tabs>
            <w:tab w:val="num" w:pos="3555"/>
          </w:tabs>
          <w:ind w:left="4088" w:hanging="533"/>
        </w:pPr>
        <w:rPr>
          <w:rFonts w:hint="default"/>
        </w:rPr>
      </w:lvl>
    </w:lvlOverride>
    <w:lvlOverride w:ilvl="8">
      <w:lvl w:ilvl="8">
        <w:start w:val="1"/>
        <w:numFmt w:val="decimal"/>
        <w:lvlText w:val="%1.%2.%3.%4.%5.%6.%7.%8.%9."/>
        <w:lvlJc w:val="left"/>
        <w:pPr>
          <w:ind w:left="4621" w:hanging="533"/>
        </w:pPr>
        <w:rPr>
          <w:rFonts w:hint="default"/>
        </w:rPr>
      </w:lvl>
    </w:lvlOverride>
  </w:num>
  <w:num w:numId="31" w16cid:durableId="224076032">
    <w:abstractNumId w:val="26"/>
  </w:num>
  <w:num w:numId="32" w16cid:durableId="1006397686">
    <w:abstractNumId w:val="34"/>
  </w:num>
  <w:num w:numId="33" w16cid:durableId="1079055678">
    <w:abstractNumId w:val="12"/>
  </w:num>
  <w:num w:numId="34" w16cid:durableId="96416058">
    <w:abstractNumId w:val="25"/>
  </w:num>
  <w:num w:numId="35" w16cid:durableId="1148132743">
    <w:abstractNumId w:val="20"/>
  </w:num>
  <w:num w:numId="36" w16cid:durableId="1070926846">
    <w:abstractNumId w:val="15"/>
  </w:num>
  <w:num w:numId="37" w16cid:durableId="16970032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4D"/>
    <w:rsid w:val="0003268C"/>
    <w:rsid w:val="00041B87"/>
    <w:rsid w:val="00055E6A"/>
    <w:rsid w:val="00291C86"/>
    <w:rsid w:val="002E4B94"/>
    <w:rsid w:val="00321D70"/>
    <w:rsid w:val="00323834"/>
    <w:rsid w:val="00335E2B"/>
    <w:rsid w:val="003B50DB"/>
    <w:rsid w:val="003D69D5"/>
    <w:rsid w:val="004538A7"/>
    <w:rsid w:val="00471ADB"/>
    <w:rsid w:val="00485115"/>
    <w:rsid w:val="00603665"/>
    <w:rsid w:val="00605A72"/>
    <w:rsid w:val="006B19CD"/>
    <w:rsid w:val="00711B39"/>
    <w:rsid w:val="0075561B"/>
    <w:rsid w:val="00783E39"/>
    <w:rsid w:val="007A7387"/>
    <w:rsid w:val="00872C83"/>
    <w:rsid w:val="008B2675"/>
    <w:rsid w:val="0091084D"/>
    <w:rsid w:val="009258B7"/>
    <w:rsid w:val="009413E0"/>
    <w:rsid w:val="009A5117"/>
    <w:rsid w:val="00A108B5"/>
    <w:rsid w:val="00AB5B5E"/>
    <w:rsid w:val="00AD3430"/>
    <w:rsid w:val="00B0571A"/>
    <w:rsid w:val="00BB34A4"/>
    <w:rsid w:val="00BB5F20"/>
    <w:rsid w:val="00BC20C5"/>
    <w:rsid w:val="00BD2CD6"/>
    <w:rsid w:val="00BD2E49"/>
    <w:rsid w:val="00C15BF1"/>
    <w:rsid w:val="00C647B4"/>
    <w:rsid w:val="00CA4E9E"/>
    <w:rsid w:val="00D01865"/>
    <w:rsid w:val="00D274E0"/>
    <w:rsid w:val="00DE4FF1"/>
    <w:rsid w:val="00E2356E"/>
    <w:rsid w:val="00E85611"/>
    <w:rsid w:val="00EA4084"/>
    <w:rsid w:val="00F20BD6"/>
    <w:rsid w:val="00F5028D"/>
    <w:rsid w:val="00F76D8D"/>
    <w:rsid w:val="00FF0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40D0"/>
  <w15:chartTrackingRefBased/>
  <w15:docId w15:val="{0AA3CEEB-E900-4E03-BB1E-D212D31A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2B"/>
    <w:pPr>
      <w:spacing w:after="0" w:line="240" w:lineRule="auto"/>
    </w:pPr>
    <w:rPr>
      <w:rFonts w:ascii="Verdana" w:hAnsi="Verdana"/>
    </w:rPr>
  </w:style>
  <w:style w:type="paragraph" w:styleId="Heading1">
    <w:name w:val="heading 1"/>
    <w:basedOn w:val="Normal"/>
    <w:next w:val="Normal"/>
    <w:link w:val="Heading1Char"/>
    <w:uiPriority w:val="9"/>
    <w:qFormat/>
    <w:rsid w:val="00711B39"/>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11B39"/>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11B39"/>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11B39"/>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B39"/>
    <w:pPr>
      <w:spacing w:after="0" w:line="240" w:lineRule="auto"/>
    </w:pPr>
    <w:rPr>
      <w:rFonts w:ascii="Verdana" w:hAnsi="Verdana"/>
    </w:rPr>
  </w:style>
  <w:style w:type="character" w:customStyle="1" w:styleId="Heading1Char">
    <w:name w:val="Heading 1 Char"/>
    <w:basedOn w:val="DefaultParagraphFont"/>
    <w:link w:val="Heading1"/>
    <w:uiPriority w:val="9"/>
    <w:rsid w:val="00711B39"/>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711B39"/>
    <w:rPr>
      <w:rFonts w:ascii="Verdana" w:eastAsiaTheme="majorEastAsia" w:hAnsi="Verdana" w:cstheme="majorBidi"/>
      <w:b/>
      <w:sz w:val="28"/>
      <w:szCs w:val="26"/>
    </w:rPr>
  </w:style>
  <w:style w:type="character" w:customStyle="1" w:styleId="Heading3Char">
    <w:name w:val="Heading 3 Char"/>
    <w:basedOn w:val="DefaultParagraphFont"/>
    <w:link w:val="Heading3"/>
    <w:uiPriority w:val="9"/>
    <w:rsid w:val="00711B39"/>
    <w:rPr>
      <w:rFonts w:ascii="Verdana" w:eastAsiaTheme="majorEastAsia" w:hAnsi="Verdana" w:cstheme="majorBidi"/>
      <w:b/>
      <w:sz w:val="24"/>
      <w:szCs w:val="24"/>
    </w:rPr>
  </w:style>
  <w:style w:type="character" w:customStyle="1" w:styleId="Heading4Char">
    <w:name w:val="Heading 4 Char"/>
    <w:basedOn w:val="DefaultParagraphFont"/>
    <w:link w:val="Heading4"/>
    <w:uiPriority w:val="9"/>
    <w:rsid w:val="00711B39"/>
    <w:rPr>
      <w:rFonts w:ascii="Verdana" w:eastAsiaTheme="majorEastAsia" w:hAnsi="Verdana" w:cstheme="majorBidi"/>
      <w:b/>
      <w:iCs/>
    </w:rPr>
  </w:style>
  <w:style w:type="paragraph" w:styleId="TOC1">
    <w:name w:val="toc 1"/>
    <w:basedOn w:val="Normal"/>
    <w:next w:val="Normal"/>
    <w:autoRedefine/>
    <w:uiPriority w:val="39"/>
    <w:unhideWhenUsed/>
    <w:rsid w:val="00711B39"/>
  </w:style>
  <w:style w:type="paragraph" w:styleId="TOC2">
    <w:name w:val="toc 2"/>
    <w:basedOn w:val="Normal"/>
    <w:next w:val="Normal"/>
    <w:autoRedefine/>
    <w:uiPriority w:val="39"/>
    <w:unhideWhenUsed/>
    <w:rsid w:val="00711B39"/>
    <w:pPr>
      <w:ind w:left="284"/>
    </w:pPr>
  </w:style>
  <w:style w:type="paragraph" w:styleId="TOC3">
    <w:name w:val="toc 3"/>
    <w:basedOn w:val="Normal"/>
    <w:next w:val="Normal"/>
    <w:autoRedefine/>
    <w:uiPriority w:val="39"/>
    <w:unhideWhenUsed/>
    <w:rsid w:val="00711B39"/>
    <w:pPr>
      <w:ind w:left="567"/>
    </w:pPr>
  </w:style>
  <w:style w:type="paragraph" w:styleId="TOC4">
    <w:name w:val="toc 4"/>
    <w:basedOn w:val="Normal"/>
    <w:next w:val="Normal"/>
    <w:autoRedefine/>
    <w:uiPriority w:val="39"/>
    <w:unhideWhenUsed/>
    <w:rsid w:val="00711B39"/>
    <w:pPr>
      <w:ind w:left="851"/>
    </w:pPr>
  </w:style>
  <w:style w:type="paragraph" w:styleId="ListParagraph">
    <w:name w:val="List Paragraph"/>
    <w:basedOn w:val="Normal"/>
    <w:uiPriority w:val="34"/>
    <w:qFormat/>
    <w:rsid w:val="00335E2B"/>
    <w:pPr>
      <w:contextualSpacing/>
    </w:pPr>
  </w:style>
  <w:style w:type="numbering" w:customStyle="1" w:styleId="WSBulletStyle1">
    <w:name w:val="WS Bullet Style 1"/>
    <w:uiPriority w:val="99"/>
    <w:rsid w:val="00BC20C5"/>
    <w:pPr>
      <w:numPr>
        <w:numId w:val="18"/>
      </w:numPr>
    </w:pPr>
  </w:style>
  <w:style w:type="numbering" w:customStyle="1" w:styleId="WSNumberedStyle1">
    <w:name w:val="WS Numbered Style 1"/>
    <w:uiPriority w:val="99"/>
    <w:rsid w:val="00605A72"/>
    <w:pPr>
      <w:numPr>
        <w:numId w:val="21"/>
      </w:numPr>
    </w:pPr>
  </w:style>
  <w:style w:type="numbering" w:customStyle="1" w:styleId="WSNumberedStyle2">
    <w:name w:val="WS Numbered Style 2"/>
    <w:uiPriority w:val="99"/>
    <w:rsid w:val="004538A7"/>
    <w:pPr>
      <w:numPr>
        <w:numId w:val="24"/>
      </w:numPr>
    </w:pPr>
  </w:style>
  <w:style w:type="numbering" w:customStyle="1" w:styleId="WSNumberedStyle3">
    <w:name w:val="WS Numbered Style 3"/>
    <w:uiPriority w:val="99"/>
    <w:rsid w:val="00485115"/>
    <w:pPr>
      <w:numPr>
        <w:numId w:val="32"/>
      </w:numPr>
    </w:pPr>
  </w:style>
  <w:style w:type="table" w:styleId="TableGrid">
    <w:name w:val="Table Grid"/>
    <w:basedOn w:val="TableNormal"/>
    <w:uiPriority w:val="39"/>
    <w:rsid w:val="00DE4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customStyle="1" w:styleId="casenumber">
    <w:name w:val="casenumber"/>
    <w:basedOn w:val="DefaultParagraphFont"/>
    <w:rsid w:val="00291C86"/>
  </w:style>
  <w:style w:type="character" w:customStyle="1" w:styleId="divider1">
    <w:name w:val="divider1"/>
    <w:basedOn w:val="DefaultParagraphFont"/>
    <w:rsid w:val="00291C86"/>
  </w:style>
  <w:style w:type="character" w:customStyle="1" w:styleId="description">
    <w:name w:val="description"/>
    <w:basedOn w:val="DefaultParagraphFont"/>
    <w:rsid w:val="00291C86"/>
  </w:style>
  <w:style w:type="character" w:customStyle="1" w:styleId="divider2">
    <w:name w:val="divider2"/>
    <w:basedOn w:val="DefaultParagraphFont"/>
    <w:rsid w:val="00291C86"/>
  </w:style>
  <w:style w:type="character" w:customStyle="1" w:styleId="address">
    <w:name w:val="address"/>
    <w:basedOn w:val="DefaultParagraphFont"/>
    <w:rsid w:val="0029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52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Stagg, Dom</dc:creator>
  <cp:keywords/>
  <dc:description/>
  <cp:lastModifiedBy>Stagg, Dom</cp:lastModifiedBy>
  <cp:revision>3</cp:revision>
  <dcterms:created xsi:type="dcterms:W3CDTF">2023-01-31T18:29:00Z</dcterms:created>
  <dcterms:modified xsi:type="dcterms:W3CDTF">2023-01-31T18:29:00Z</dcterms:modified>
</cp:coreProperties>
</file>