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6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7"/>
        <w:gridCol w:w="7033"/>
      </w:tblGrid>
      <w:tr w:rsidR="00B24C28" w:rsidRPr="00F07EFE" w14:paraId="7492A2B0" w14:textId="77777777" w:rsidTr="00B24C28">
        <w:trPr>
          <w:trHeight w:val="300"/>
        </w:trPr>
        <w:tc>
          <w:tcPr>
            <w:tcW w:w="9160" w:type="dxa"/>
            <w:gridSpan w:val="2"/>
            <w:tcBorders>
              <w:top w:val="single" w:sz="6" w:space="0" w:color="auto"/>
              <w:left w:val="single" w:sz="6" w:space="0" w:color="auto"/>
              <w:bottom w:val="single" w:sz="6" w:space="0" w:color="auto"/>
              <w:right w:val="single" w:sz="6" w:space="0" w:color="auto"/>
            </w:tcBorders>
            <w:hideMark/>
          </w:tcPr>
          <w:p w14:paraId="49375BE2" w14:textId="4F4875ED" w:rsidR="00B24C28" w:rsidRPr="00F07EFE" w:rsidRDefault="00B24C28" w:rsidP="00B24C28">
            <w:pPr>
              <w:spacing w:after="0"/>
              <w:rPr>
                <w:rFonts w:cs="Arial"/>
                <w:b/>
                <w:bCs/>
              </w:rPr>
            </w:pPr>
            <w:r w:rsidRPr="00F07EFE">
              <w:rPr>
                <w:rFonts w:cs="Arial"/>
                <w:b/>
                <w:bCs/>
              </w:rPr>
              <w:t xml:space="preserve">Public Health Comments </w:t>
            </w:r>
          </w:p>
          <w:p w14:paraId="2A6EB7EC" w14:textId="65BD9275" w:rsidR="00B24C28" w:rsidRPr="00F07EFE" w:rsidRDefault="00B24C28" w:rsidP="00B24C28">
            <w:pPr>
              <w:spacing w:after="0"/>
              <w:rPr>
                <w:rFonts w:cs="Arial"/>
                <w:b/>
                <w:bCs/>
              </w:rPr>
            </w:pPr>
            <w:r w:rsidRPr="00F07EFE">
              <w:rPr>
                <w:rFonts w:cs="Arial"/>
                <w:b/>
                <w:bCs/>
              </w:rPr>
              <w:t> </w:t>
            </w:r>
          </w:p>
        </w:tc>
      </w:tr>
      <w:tr w:rsidR="00B24C28" w:rsidRPr="00F07EFE" w14:paraId="49283313" w14:textId="77777777" w:rsidTr="00B24C28">
        <w:trPr>
          <w:trHeight w:val="300"/>
        </w:trPr>
        <w:tc>
          <w:tcPr>
            <w:tcW w:w="2127" w:type="dxa"/>
            <w:tcBorders>
              <w:top w:val="nil"/>
              <w:left w:val="single" w:sz="6" w:space="0" w:color="auto"/>
              <w:bottom w:val="single" w:sz="6" w:space="0" w:color="auto"/>
              <w:right w:val="single" w:sz="6" w:space="0" w:color="auto"/>
            </w:tcBorders>
            <w:hideMark/>
          </w:tcPr>
          <w:p w14:paraId="38781E7E" w14:textId="77777777" w:rsidR="00B24C28" w:rsidRPr="00F07EFE" w:rsidRDefault="00B24C28" w:rsidP="00B24C28">
            <w:pPr>
              <w:spacing w:after="0"/>
              <w:rPr>
                <w:rFonts w:cs="Arial"/>
                <w:b/>
                <w:bCs/>
              </w:rPr>
            </w:pPr>
            <w:r w:rsidRPr="00F07EFE">
              <w:rPr>
                <w:rFonts w:cs="Arial"/>
                <w:b/>
                <w:bCs/>
              </w:rPr>
              <w:t>Application Name </w:t>
            </w:r>
          </w:p>
          <w:p w14:paraId="7336989E" w14:textId="77777777" w:rsidR="00B24C28" w:rsidRPr="00F07EFE" w:rsidRDefault="00B24C28" w:rsidP="00B24C28">
            <w:pPr>
              <w:spacing w:after="0"/>
              <w:rPr>
                <w:rFonts w:cs="Arial"/>
                <w:b/>
                <w:bCs/>
              </w:rPr>
            </w:pPr>
            <w:r w:rsidRPr="00F07EFE">
              <w:rPr>
                <w:rFonts w:ascii="Arial" w:hAnsi="Arial" w:cs="Arial"/>
                <w:b/>
                <w:bCs/>
              </w:rPr>
              <w:t> </w:t>
            </w:r>
            <w:r w:rsidRPr="00F07EFE">
              <w:rPr>
                <w:rFonts w:cs="Arial"/>
                <w:b/>
                <w:bCs/>
              </w:rPr>
              <w:t> </w:t>
            </w:r>
          </w:p>
        </w:tc>
        <w:tc>
          <w:tcPr>
            <w:tcW w:w="7033" w:type="dxa"/>
            <w:tcBorders>
              <w:top w:val="nil"/>
              <w:left w:val="nil"/>
              <w:bottom w:val="single" w:sz="6" w:space="0" w:color="auto"/>
              <w:right w:val="single" w:sz="6" w:space="0" w:color="auto"/>
            </w:tcBorders>
            <w:hideMark/>
          </w:tcPr>
          <w:p w14:paraId="152BB76B" w14:textId="4D3A72C0" w:rsidR="00B24C28" w:rsidRPr="00F07EFE" w:rsidRDefault="00AF5EF1" w:rsidP="00B24C28">
            <w:pPr>
              <w:spacing w:after="0"/>
              <w:rPr>
                <w:rFonts w:cs="Arial"/>
                <w:b/>
                <w:bCs/>
              </w:rPr>
            </w:pPr>
            <w:r w:rsidRPr="00F07EFE">
              <w:rPr>
                <w:rFonts w:cs="Arial"/>
                <w:b/>
                <w:bCs/>
              </w:rPr>
              <w:t>Land near Haverhill English Way</w:t>
            </w:r>
          </w:p>
        </w:tc>
      </w:tr>
      <w:tr w:rsidR="00093AC3" w:rsidRPr="00F07EFE" w14:paraId="785E8BE9" w14:textId="77777777" w:rsidTr="00B24C28">
        <w:trPr>
          <w:trHeight w:val="300"/>
        </w:trPr>
        <w:tc>
          <w:tcPr>
            <w:tcW w:w="2127" w:type="dxa"/>
            <w:tcBorders>
              <w:top w:val="nil"/>
              <w:left w:val="single" w:sz="6" w:space="0" w:color="auto"/>
              <w:bottom w:val="single" w:sz="6" w:space="0" w:color="auto"/>
              <w:right w:val="single" w:sz="6" w:space="0" w:color="auto"/>
            </w:tcBorders>
          </w:tcPr>
          <w:p w14:paraId="208E0100" w14:textId="23C0395A" w:rsidR="00093AC3" w:rsidRPr="00F07EFE" w:rsidRDefault="000544A7" w:rsidP="00B24C28">
            <w:pPr>
              <w:spacing w:after="0"/>
              <w:rPr>
                <w:rFonts w:cs="Arial"/>
                <w:b/>
                <w:bCs/>
              </w:rPr>
            </w:pPr>
            <w:r w:rsidRPr="00F07EFE">
              <w:rPr>
                <w:rFonts w:cs="Arial"/>
                <w:b/>
                <w:bCs/>
              </w:rPr>
              <w:t>Proposal</w:t>
            </w:r>
          </w:p>
        </w:tc>
        <w:tc>
          <w:tcPr>
            <w:tcW w:w="7033" w:type="dxa"/>
            <w:tcBorders>
              <w:top w:val="nil"/>
              <w:left w:val="nil"/>
              <w:bottom w:val="single" w:sz="6" w:space="0" w:color="auto"/>
              <w:right w:val="single" w:sz="6" w:space="0" w:color="auto"/>
            </w:tcBorders>
          </w:tcPr>
          <w:p w14:paraId="673579E9" w14:textId="2706C935" w:rsidR="000544A7" w:rsidRPr="00F07EFE" w:rsidRDefault="000544A7" w:rsidP="000544A7">
            <w:pPr>
              <w:autoSpaceDE w:val="0"/>
              <w:autoSpaceDN w:val="0"/>
              <w:adjustRightInd w:val="0"/>
              <w:spacing w:after="0" w:line="240" w:lineRule="auto"/>
              <w:rPr>
                <w:rFonts w:cs="Verdana-Bold"/>
                <w:kern w:val="0"/>
              </w:rPr>
            </w:pPr>
            <w:r w:rsidRPr="00F07EFE">
              <w:rPr>
                <w:rFonts w:cs="Verdana-Bold"/>
                <w:kern w:val="0"/>
              </w:rPr>
              <w:t>Reserved matters application - a. submission of details under outline planning permission DC/15/2151/OUT - means of access, appearance, landscaping, layout and scale for 250 dwellings (including 72 affordable) (parcels A14; and A15); allotments (parcel E2); associated internal roads, car parking, amenity and public open space; pumping station and diversion of overhead HV cable; b. including application to</w:t>
            </w:r>
          </w:p>
          <w:p w14:paraId="02C91CB2" w14:textId="292F7214" w:rsidR="00093AC3" w:rsidRPr="00F07EFE" w:rsidRDefault="000544A7" w:rsidP="000544A7">
            <w:pPr>
              <w:autoSpaceDE w:val="0"/>
              <w:autoSpaceDN w:val="0"/>
              <w:adjustRightInd w:val="0"/>
              <w:spacing w:after="0" w:line="240" w:lineRule="auto"/>
              <w:rPr>
                <w:rFonts w:cs="Arial"/>
                <w:b/>
                <w:bCs/>
              </w:rPr>
            </w:pPr>
            <w:r w:rsidRPr="00F07EFE">
              <w:rPr>
                <w:rFonts w:cs="Verdana-Bold"/>
                <w:kern w:val="0"/>
              </w:rPr>
              <w:t>partially discharge conditions 4; 6; 7; 8; 9; 15; 28; 30; 37; 38; and 44</w:t>
            </w:r>
          </w:p>
        </w:tc>
      </w:tr>
      <w:tr w:rsidR="00B24C28" w:rsidRPr="00F07EFE" w14:paraId="3D90FCC8" w14:textId="77777777" w:rsidTr="00B24C28">
        <w:trPr>
          <w:trHeight w:val="300"/>
        </w:trPr>
        <w:tc>
          <w:tcPr>
            <w:tcW w:w="2127" w:type="dxa"/>
            <w:tcBorders>
              <w:top w:val="nil"/>
              <w:left w:val="single" w:sz="6" w:space="0" w:color="auto"/>
              <w:bottom w:val="single" w:sz="6" w:space="0" w:color="auto"/>
              <w:right w:val="single" w:sz="6" w:space="0" w:color="auto"/>
            </w:tcBorders>
            <w:hideMark/>
          </w:tcPr>
          <w:p w14:paraId="263C4A61" w14:textId="77777777" w:rsidR="00B24C28" w:rsidRPr="00F07EFE" w:rsidRDefault="00B24C28" w:rsidP="00B24C28">
            <w:pPr>
              <w:spacing w:after="0"/>
              <w:rPr>
                <w:rFonts w:cs="Arial"/>
                <w:b/>
                <w:bCs/>
              </w:rPr>
            </w:pPr>
            <w:r w:rsidRPr="00F07EFE">
              <w:rPr>
                <w:rFonts w:cs="Arial"/>
                <w:b/>
                <w:bCs/>
              </w:rPr>
              <w:t>Application Reference </w:t>
            </w:r>
          </w:p>
        </w:tc>
        <w:tc>
          <w:tcPr>
            <w:tcW w:w="7033" w:type="dxa"/>
            <w:tcBorders>
              <w:top w:val="nil"/>
              <w:left w:val="nil"/>
              <w:bottom w:val="single" w:sz="6" w:space="0" w:color="auto"/>
              <w:right w:val="single" w:sz="6" w:space="0" w:color="auto"/>
            </w:tcBorders>
            <w:hideMark/>
          </w:tcPr>
          <w:p w14:paraId="71FE22FB" w14:textId="558D807E" w:rsidR="00B24C28" w:rsidRPr="00F07EFE" w:rsidRDefault="00B24C28" w:rsidP="00B24C28">
            <w:pPr>
              <w:spacing w:after="0"/>
              <w:rPr>
                <w:rFonts w:cs="Arial"/>
                <w:b/>
                <w:bCs/>
              </w:rPr>
            </w:pPr>
            <w:r w:rsidRPr="00F07EFE">
              <w:rPr>
                <w:rFonts w:cs="Arial"/>
                <w:b/>
                <w:bCs/>
              </w:rPr>
              <w:t>DC/25/</w:t>
            </w:r>
            <w:r w:rsidR="00AF5EF1" w:rsidRPr="00F07EFE">
              <w:rPr>
                <w:rFonts w:cs="Arial"/>
                <w:b/>
                <w:bCs/>
              </w:rPr>
              <w:t>1990/RM</w:t>
            </w:r>
          </w:p>
        </w:tc>
      </w:tr>
      <w:tr w:rsidR="00B24C28" w:rsidRPr="00F07EFE" w14:paraId="7DA5BE08" w14:textId="77777777" w:rsidTr="00B24C28">
        <w:trPr>
          <w:trHeight w:val="300"/>
        </w:trPr>
        <w:tc>
          <w:tcPr>
            <w:tcW w:w="2127" w:type="dxa"/>
            <w:tcBorders>
              <w:top w:val="nil"/>
              <w:left w:val="single" w:sz="6" w:space="0" w:color="auto"/>
              <w:bottom w:val="single" w:sz="6" w:space="0" w:color="auto"/>
              <w:right w:val="single" w:sz="6" w:space="0" w:color="auto"/>
            </w:tcBorders>
            <w:hideMark/>
          </w:tcPr>
          <w:p w14:paraId="7E3E5966" w14:textId="77777777" w:rsidR="00B24C28" w:rsidRPr="00F07EFE" w:rsidRDefault="00B24C28" w:rsidP="00B24C28">
            <w:pPr>
              <w:spacing w:after="0"/>
              <w:rPr>
                <w:rFonts w:cs="Arial"/>
                <w:b/>
                <w:bCs/>
              </w:rPr>
            </w:pPr>
            <w:r w:rsidRPr="00F07EFE">
              <w:rPr>
                <w:rFonts w:cs="Arial"/>
                <w:b/>
                <w:bCs/>
              </w:rPr>
              <w:t>Response Date </w:t>
            </w:r>
          </w:p>
        </w:tc>
        <w:tc>
          <w:tcPr>
            <w:tcW w:w="7033" w:type="dxa"/>
            <w:tcBorders>
              <w:top w:val="nil"/>
              <w:left w:val="nil"/>
              <w:bottom w:val="single" w:sz="6" w:space="0" w:color="auto"/>
              <w:right w:val="single" w:sz="6" w:space="0" w:color="auto"/>
            </w:tcBorders>
            <w:hideMark/>
          </w:tcPr>
          <w:p w14:paraId="319D612D" w14:textId="49124EF8" w:rsidR="00B24C28" w:rsidRPr="00F07EFE" w:rsidRDefault="007E09C8" w:rsidP="00B24C28">
            <w:pPr>
              <w:spacing w:after="0"/>
              <w:rPr>
                <w:rFonts w:cs="Arial"/>
                <w:b/>
                <w:bCs/>
              </w:rPr>
            </w:pPr>
            <w:r w:rsidRPr="00F07EFE">
              <w:rPr>
                <w:rFonts w:cs="Arial"/>
                <w:b/>
                <w:bCs/>
              </w:rPr>
              <w:t>2</w:t>
            </w:r>
            <w:r w:rsidRPr="00F07EFE">
              <w:rPr>
                <w:rFonts w:cs="Arial"/>
                <w:b/>
                <w:bCs/>
                <w:vertAlign w:val="superscript"/>
              </w:rPr>
              <w:t>nd</w:t>
            </w:r>
            <w:r w:rsidRPr="00F07EFE">
              <w:rPr>
                <w:rFonts w:cs="Arial"/>
                <w:b/>
                <w:bCs/>
              </w:rPr>
              <w:t xml:space="preserve"> January 2026</w:t>
            </w:r>
          </w:p>
        </w:tc>
      </w:tr>
    </w:tbl>
    <w:p w14:paraId="5111C4F4" w14:textId="36886EF3" w:rsidR="00B24C28" w:rsidRPr="00F07EFE" w:rsidRDefault="00B24C28" w:rsidP="00C84055">
      <w:pPr>
        <w:spacing w:after="0"/>
        <w:rPr>
          <w:rFonts w:cs="Arial"/>
          <w:b/>
          <w:bCs/>
        </w:rPr>
      </w:pPr>
      <w:r w:rsidRPr="00F07EFE">
        <w:rPr>
          <w:rFonts w:ascii="Arial" w:hAnsi="Arial" w:cs="Arial"/>
          <w:b/>
          <w:bCs/>
        </w:rPr>
        <w:t> </w:t>
      </w:r>
      <w:r w:rsidRPr="00F07EFE">
        <w:rPr>
          <w:rFonts w:cs="Arial"/>
          <w:b/>
          <w:bCs/>
        </w:rPr>
        <w:t> </w:t>
      </w:r>
    </w:p>
    <w:p w14:paraId="15FB157D" w14:textId="65A2BAFA" w:rsidR="00C821F8" w:rsidRPr="00F07EFE" w:rsidRDefault="00E83AE5" w:rsidP="00E83AE5">
      <w:pPr>
        <w:rPr>
          <w:rFonts w:cs="Arial"/>
          <w:b/>
          <w:bCs/>
        </w:rPr>
      </w:pPr>
      <w:r w:rsidRPr="00F07EFE">
        <w:rPr>
          <w:rFonts w:cs="Arial"/>
          <w:b/>
          <w:bCs/>
        </w:rPr>
        <w:t>Affordable Housing</w:t>
      </w:r>
    </w:p>
    <w:p w14:paraId="180BDC24" w14:textId="77777777" w:rsidR="00705716" w:rsidRDefault="000049A9" w:rsidP="00705716">
      <w:r w:rsidRPr="00A2356D">
        <w:t>The Design and Access Statement (D&amp;A), dated October 2025, relates to Parcels A14, A15, and E2 and proposes a total of 250 dwellings, of which 72 (28</w:t>
      </w:r>
      <w:r>
        <w:t>.8</w:t>
      </w:r>
      <w:r w:rsidRPr="00A2356D">
        <w:t xml:space="preserve">%) are </w:t>
      </w:r>
      <w:r>
        <w:t>proposed</w:t>
      </w:r>
      <w:r w:rsidRPr="00A2356D">
        <w:t xml:space="preserve"> as affordable housing. In contrast, the Health Impact Assessment (HIA), dated November 2025, extends the assessment area to include Parcel A9, which introduces a further 95 dwellings, 40 of which (42%) are</w:t>
      </w:r>
      <w:r>
        <w:t xml:space="preserve"> proposed as</w:t>
      </w:r>
      <w:r w:rsidRPr="00A2356D">
        <w:t xml:space="preserve"> affordable. This results in a disproportionately higher concentration of affordable housing within Parcel A9 when compared with the other parcels.</w:t>
      </w:r>
      <w:r w:rsidR="00071A92">
        <w:t xml:space="preserve"> </w:t>
      </w:r>
      <w:r w:rsidR="00705716" w:rsidRPr="00785298">
        <w:t>Noting that Parcel A9 appears to function as a gateway to the wider site, this area is likely to experience higher levels of traffic movement, noise, and exposure to air pollution. The concentration of affordable housing within this location therefore raises concern that residents who are more likely to experience existing health vulnerabilities may be disproportionately exposed to poorer environmental conditions, with the potential to exacerbate existing health inequalities.</w:t>
      </w:r>
    </w:p>
    <w:p w14:paraId="5DD51A2D" w14:textId="58B137C6" w:rsidR="000049A9" w:rsidRPr="00A2356D" w:rsidRDefault="00D153ED" w:rsidP="000049A9">
      <w:r>
        <w:t>Furthermore, this</w:t>
      </w:r>
      <w:r w:rsidR="000049A9" w:rsidRPr="00A2356D">
        <w:t xml:space="preserve"> imbalance is inconsistent with the principle of a “tenure-blind” development, which seeks to ensure that affordable and market homes are indistinguishable in appearance and evenly distributed across the site. It is therefore recommended that the Applicant revisits the affordable housing distribution across all parcels to achieve a more consistent and integrated tenure mix throughout the wider development.</w:t>
      </w:r>
    </w:p>
    <w:p w14:paraId="0B0BE5B1" w14:textId="2F229C0E" w:rsidR="000049A9" w:rsidRDefault="000049A9" w:rsidP="000049A9">
      <w:r w:rsidRPr="00A2356D">
        <w:t>Policy SP16 of the West Suffolk Local Plan 2024–2041 requires that 40% of dwellings on greenfield sites should be affordable. When the figures set out in the submitted D&amp;A and HIA are considered collectively</w:t>
      </w:r>
      <w:r w:rsidR="00FF4553">
        <w:t xml:space="preserve"> (</w:t>
      </w:r>
      <w:r w:rsidR="003231D1">
        <w:t>A14, A15, E2 a</w:t>
      </w:r>
      <w:r w:rsidR="00BF6341">
        <w:t>nd A9)</w:t>
      </w:r>
      <w:r w:rsidRPr="00A2356D">
        <w:t>, the overall provision equates to approximately 33% affordable housing, representing a shortfall against policy requirements. While it is acknowledged that an alternative agreement may have been reached with the Local Planning Authority, in the absence of clear evidence to this effect, Public Health strongly advocates for full compliance with Local Plan policy.</w:t>
      </w:r>
    </w:p>
    <w:p w14:paraId="0C8252E6" w14:textId="6A0DEA57" w:rsidR="000049A9" w:rsidRPr="00E331D7" w:rsidRDefault="000049A9" w:rsidP="000049A9">
      <w:pPr>
        <w:rPr>
          <w:b/>
          <w:bCs/>
        </w:rPr>
      </w:pPr>
      <w:r w:rsidRPr="00E331D7">
        <w:rPr>
          <w:b/>
          <w:bCs/>
        </w:rPr>
        <w:t>Age</w:t>
      </w:r>
      <w:r w:rsidR="0083739D" w:rsidRPr="00E331D7">
        <w:rPr>
          <w:b/>
          <w:bCs/>
        </w:rPr>
        <w:t xml:space="preserve"> Profile</w:t>
      </w:r>
    </w:p>
    <w:p w14:paraId="7AB05493" w14:textId="29F51CFF" w:rsidR="000560DB" w:rsidRPr="00582BD7" w:rsidRDefault="000560DB" w:rsidP="000560DB">
      <w:r w:rsidRPr="000560DB">
        <w:t xml:space="preserve">The HIA presents an Age Profile for Haverhill in Figure Five and identifies that the town has a </w:t>
      </w:r>
      <w:proofErr w:type="gramStart"/>
      <w:r w:rsidRPr="000560DB">
        <w:t>lower</w:t>
      </w:r>
      <w:r w:rsidRPr="00582BD7">
        <w:t xml:space="preserve"> </w:t>
      </w:r>
      <w:r w:rsidRPr="000560DB">
        <w:t>than</w:t>
      </w:r>
      <w:r w:rsidR="00103AFA" w:rsidRPr="00582BD7">
        <w:t xml:space="preserve"> </w:t>
      </w:r>
      <w:r w:rsidRPr="000560DB">
        <w:t>average</w:t>
      </w:r>
      <w:proofErr w:type="gramEnd"/>
      <w:r w:rsidRPr="000560DB">
        <w:t xml:space="preserve"> proportion of residents aged 65 and over.</w:t>
      </w:r>
      <w:r w:rsidR="00103AFA" w:rsidRPr="00582BD7">
        <w:t xml:space="preserve"> </w:t>
      </w:r>
      <w:r w:rsidR="00D740D4" w:rsidRPr="00582BD7">
        <w:t>It is important to also note the</w:t>
      </w:r>
      <w:r w:rsidRPr="000560DB">
        <w:t xml:space="preserve"> above</w:t>
      </w:r>
      <w:r w:rsidR="00D740D4" w:rsidRPr="00582BD7">
        <w:t xml:space="preserve"> </w:t>
      </w:r>
      <w:r w:rsidRPr="000560DB">
        <w:t xml:space="preserve">average population within the 25–64 age group as this cohort will over time contribute to an increase in the 65+ population. Recognising this demographic trajectory is important to ensuring that the area is adequately prepared to meet future needs. Key implications include </w:t>
      </w:r>
      <w:r w:rsidRPr="000560DB">
        <w:lastRenderedPageBreak/>
        <w:t>the provision of sufficient affordable housing</w:t>
      </w:r>
      <w:r w:rsidR="00886BDA" w:rsidRPr="00582BD7">
        <w:t>,</w:t>
      </w:r>
      <w:r w:rsidRPr="000560DB">
        <w:t xml:space="preserve"> and an appropriate </w:t>
      </w:r>
      <w:r w:rsidR="00006084">
        <w:t>quantity</w:t>
      </w:r>
      <w:r w:rsidRPr="000560DB">
        <w:t xml:space="preserve"> of adaptable and accessible homes, specifically those compliant with M4(2) standards</w:t>
      </w:r>
      <w:r w:rsidR="00886BDA" w:rsidRPr="00582BD7">
        <w:t xml:space="preserve"> and measures to ensure the area is dementia friendly</w:t>
      </w:r>
      <w:r w:rsidRPr="000560DB">
        <w:t>.</w:t>
      </w:r>
    </w:p>
    <w:p w14:paraId="40A03273" w14:textId="4D25355A" w:rsidR="00C71262" w:rsidRPr="00582BD7" w:rsidRDefault="00C71262" w:rsidP="00C71262">
      <w:r w:rsidRPr="000560DB">
        <w:t>West Suffolk Local Plan Policy SP17 states that</w:t>
      </w:r>
      <w:r w:rsidRPr="00582BD7">
        <w:t xml:space="preserve"> “</w:t>
      </w:r>
      <w:r w:rsidR="001A4A13" w:rsidRPr="001A4A13">
        <w:rPr>
          <w:i/>
          <w:iCs/>
        </w:rPr>
        <w:t>All new homes must be built to building regulations M4(2) 'accessible and adaptable' standard, with around 13 per cent of affordable homes built to building regulations M4(3) 'wheelchair user' standard (or successor standards) unless site specific factors mean that those standards cannot be achieved or would make the development unviable. Proposals which deliver market homes to M4(3) standard will be encouraged</w:t>
      </w:r>
      <w:r w:rsidRPr="00582BD7">
        <w:rPr>
          <w:i/>
          <w:iCs/>
        </w:rPr>
        <w:t xml:space="preserve">”. </w:t>
      </w:r>
      <w:r w:rsidRPr="000560DB">
        <w:t>However, compliance with Policy SP17 is not clearly confirmed within either the HIA or the D&amp;A. Public Health would therefore welcome confirmation that these standards will be met</w:t>
      </w:r>
      <w:r w:rsidR="009F28F1" w:rsidRPr="00582BD7">
        <w:t xml:space="preserve"> across the development</w:t>
      </w:r>
      <w:r w:rsidRPr="000560DB">
        <w:t>.</w:t>
      </w:r>
    </w:p>
    <w:p w14:paraId="7F75C192" w14:textId="174C2EBD" w:rsidR="000560DB" w:rsidRPr="00582BD7" w:rsidRDefault="000560DB" w:rsidP="000560DB">
      <w:r w:rsidRPr="000560DB">
        <w:t xml:space="preserve">The </w:t>
      </w:r>
      <w:r w:rsidR="0016698E">
        <w:t xml:space="preserve">HIAs </w:t>
      </w:r>
      <w:r w:rsidRPr="000560DB">
        <w:t>Age Profile also identifies an above</w:t>
      </w:r>
      <w:r w:rsidR="00C71262" w:rsidRPr="00582BD7">
        <w:t xml:space="preserve"> </w:t>
      </w:r>
      <w:r w:rsidRPr="000560DB">
        <w:t>average proportion of young residents aged 0–14. This demographic characteristic indicates a clear need for development proposals to cater for younger people and families, including the provision of an appropriate mix of smaller homes and “First Homes”. Local Plan Policy SP17 sets out expectations for housing type and tenure, including proportions of market homes, affordable routes to homeownership, and affordable housing for rent. Whil</w:t>
      </w:r>
      <w:r w:rsidR="00563A43" w:rsidRPr="00582BD7">
        <w:t>st</w:t>
      </w:r>
      <w:r w:rsidRPr="000560DB">
        <w:t xml:space="preserve"> the D&amp;A indicates an overall affordable housing provision of 28.8%, it does not provide a breakdown aligned with the tenure categories specified within the Local Plan and</w:t>
      </w:r>
      <w:r w:rsidR="00563A43" w:rsidRPr="00582BD7">
        <w:t xml:space="preserve"> </w:t>
      </w:r>
      <w:r w:rsidRPr="000560DB">
        <w:t>appears to fall short of policy</w:t>
      </w:r>
      <w:r w:rsidR="00563A43" w:rsidRPr="00582BD7">
        <w:t xml:space="preserve"> </w:t>
      </w:r>
      <w:r w:rsidRPr="000560DB">
        <w:t>compliant affordable housing levels. It is acknowledged that this may in part be influenced by the higher proportion of affordable housing proposed within Parcel A9</w:t>
      </w:r>
      <w:r w:rsidR="003B78B1" w:rsidRPr="00582BD7">
        <w:t xml:space="preserve"> but clarity on Policy SP17</w:t>
      </w:r>
      <w:r w:rsidR="00832E27" w:rsidRPr="00582BD7">
        <w:t xml:space="preserve"> compliance would be welcomed.</w:t>
      </w:r>
    </w:p>
    <w:p w14:paraId="79E6A6A4" w14:textId="5F075A95" w:rsidR="0051101D" w:rsidRPr="000560DB" w:rsidRDefault="00812B7C" w:rsidP="000560DB">
      <w:proofErr w:type="gramStart"/>
      <w:r w:rsidRPr="00582BD7">
        <w:t>With regard to</w:t>
      </w:r>
      <w:proofErr w:type="gramEnd"/>
      <w:r w:rsidRPr="00582BD7">
        <w:t xml:space="preserve"> the market housing mix, Public Health has concerns in relation to Parcels A14, A15, and E2. The proposals include a relatively small number of </w:t>
      </w:r>
      <w:proofErr w:type="gramStart"/>
      <w:r w:rsidRPr="00582BD7">
        <w:t>two bedroom</w:t>
      </w:r>
      <w:proofErr w:type="gramEnd"/>
      <w:r w:rsidRPr="00582BD7">
        <w:t xml:space="preserve"> homes and a disproportionately high number of </w:t>
      </w:r>
      <w:proofErr w:type="gramStart"/>
      <w:r w:rsidRPr="00582BD7">
        <w:t>four bedroom</w:t>
      </w:r>
      <w:proofErr w:type="gramEnd"/>
      <w:r w:rsidRPr="00582BD7">
        <w:t xml:space="preserve"> properties, which does not align with the proportions set out in Local Plan Policy LP13. This imbalance is inconsistent with the identified demographic evidence, which points to a need for smaller homes to meet the requirements of younger households, first</w:t>
      </w:r>
      <w:r w:rsidR="009003EC" w:rsidRPr="00582BD7">
        <w:t xml:space="preserve"> </w:t>
      </w:r>
      <w:r w:rsidRPr="00582BD7">
        <w:t xml:space="preserve">time buyers, and families, as well as older residents seeking to downsize. A greater emphasis on smaller dwellings would better support </w:t>
      </w:r>
      <w:r w:rsidR="009003EC" w:rsidRPr="00582BD7">
        <w:t xml:space="preserve">the local </w:t>
      </w:r>
      <w:r w:rsidRPr="00582BD7">
        <w:t>population, improve affordability</w:t>
      </w:r>
      <w:r w:rsidR="00EB01DC" w:rsidRPr="00582BD7">
        <w:t>, help retain local skills</w:t>
      </w:r>
      <w:r w:rsidRPr="00582BD7">
        <w:t xml:space="preserve"> and contribute to more inclusive communities.</w:t>
      </w:r>
    </w:p>
    <w:p w14:paraId="4310067C" w14:textId="2B0FDFE8" w:rsidR="000560DB" w:rsidRDefault="00535B60" w:rsidP="000049A9">
      <w:r w:rsidRPr="00582BD7">
        <w:t>In addition, given the anticipated ageing of the local population, the development presents an opportunity to embed practical dementia friendly principles within both the built form and public realm. This could include clear and legible street layouts with minimal complexity, good natural lighting, strong visual connections, and the use of distinctive landmarks and consistent materials to aid wayfinding. Homes and neighbourhoods should prioritise safety and familiarity, with reduced clutter, clear sightlines, non-reflective surfaces, and high-contrast design to support depth perception. Access to green space, seating at regular intervals, well</w:t>
      </w:r>
      <w:r w:rsidR="00582BD7" w:rsidRPr="00582BD7">
        <w:t xml:space="preserve"> </w:t>
      </w:r>
      <w:r w:rsidRPr="00582BD7">
        <w:t>defined pedestrian routes, and proximity to local services and community facilities would further support independence, social interaction, and wellbeing for residents living with dementia, as well as delivering wider benefits for all age groups.</w:t>
      </w:r>
    </w:p>
    <w:p w14:paraId="649194C4" w14:textId="0EBF1565" w:rsidR="002C6344" w:rsidRPr="00A83DBC" w:rsidRDefault="00D305EB" w:rsidP="000049A9">
      <w:pPr>
        <w:rPr>
          <w:b/>
          <w:bCs/>
        </w:rPr>
      </w:pPr>
      <w:r w:rsidRPr="00A83DBC">
        <w:rPr>
          <w:b/>
          <w:bCs/>
        </w:rPr>
        <w:t>Heal</w:t>
      </w:r>
      <w:r w:rsidR="00BA6777" w:rsidRPr="00A83DBC">
        <w:rPr>
          <w:b/>
          <w:bCs/>
        </w:rPr>
        <w:t>th Care</w:t>
      </w:r>
      <w:r w:rsidR="00154D2F" w:rsidRPr="00A83DBC">
        <w:rPr>
          <w:b/>
          <w:bCs/>
        </w:rPr>
        <w:t xml:space="preserve"> Pr</w:t>
      </w:r>
      <w:r w:rsidR="001C73C4" w:rsidRPr="00A83DBC">
        <w:rPr>
          <w:b/>
          <w:bCs/>
        </w:rPr>
        <w:t>ovision</w:t>
      </w:r>
    </w:p>
    <w:p w14:paraId="530D7991" w14:textId="77777777" w:rsidR="0016704F" w:rsidRDefault="00DD4A30" w:rsidP="000049A9">
      <w:r>
        <w:t>The</w:t>
      </w:r>
      <w:r w:rsidR="000A671E">
        <w:t xml:space="preserve"> HIA </w:t>
      </w:r>
      <w:r w:rsidR="00A360F9">
        <w:t xml:space="preserve">notes </w:t>
      </w:r>
      <w:r w:rsidR="009D6431">
        <w:t xml:space="preserve">on page </w:t>
      </w:r>
      <w:r w:rsidR="00E81926">
        <w:t>32</w:t>
      </w:r>
      <w:r w:rsidR="00A2698F">
        <w:t xml:space="preserve"> </w:t>
      </w:r>
      <w:r w:rsidR="00A474FF">
        <w:t xml:space="preserve">that </w:t>
      </w:r>
      <w:r w:rsidR="001C4C00">
        <w:t xml:space="preserve">the wider </w:t>
      </w:r>
      <w:r w:rsidR="00647787">
        <w:t xml:space="preserve">site </w:t>
      </w:r>
      <w:r w:rsidR="000A4557">
        <w:t>includes</w:t>
      </w:r>
      <w:r w:rsidR="00C44F47">
        <w:t xml:space="preserve"> potentia</w:t>
      </w:r>
      <w:r w:rsidR="00485377">
        <w:t>l</w:t>
      </w:r>
      <w:r w:rsidR="00E341C7">
        <w:t xml:space="preserve"> </w:t>
      </w:r>
      <w:r w:rsidR="00A36570" w:rsidRPr="00A36570">
        <w:t>for a health centre.</w:t>
      </w:r>
      <w:r w:rsidR="000B3A7C">
        <w:t xml:space="preserve"> </w:t>
      </w:r>
      <w:r w:rsidR="00190418">
        <w:t>Fur</w:t>
      </w:r>
      <w:r w:rsidR="00E71FAF">
        <w:t xml:space="preserve">ther, </w:t>
      </w:r>
      <w:r w:rsidR="005275C6">
        <w:t>The D</w:t>
      </w:r>
      <w:r w:rsidR="006F6303">
        <w:t>&amp;</w:t>
      </w:r>
      <w:r w:rsidR="00590F41">
        <w:t>A state</w:t>
      </w:r>
      <w:r w:rsidR="00394CEC">
        <w:t xml:space="preserve">s </w:t>
      </w:r>
      <w:r w:rsidR="008A14DD">
        <w:t>on pag</w:t>
      </w:r>
      <w:r w:rsidR="00F418B4">
        <w:t xml:space="preserve">e 5 under </w:t>
      </w:r>
      <w:r w:rsidR="00AB493B">
        <w:t xml:space="preserve">the </w:t>
      </w:r>
      <w:r w:rsidR="00EC05E7">
        <w:t>topic</w:t>
      </w:r>
      <w:r w:rsidR="005B1167">
        <w:t xml:space="preserve"> of</w:t>
      </w:r>
      <w:r w:rsidR="00EC05E7">
        <w:t xml:space="preserve"> </w:t>
      </w:r>
      <w:r w:rsidR="008F513F">
        <w:t>Susta</w:t>
      </w:r>
      <w:r w:rsidR="00BF2B4C">
        <w:t>in</w:t>
      </w:r>
      <w:r w:rsidR="00A536B2">
        <w:t xml:space="preserve">ability </w:t>
      </w:r>
      <w:r w:rsidR="00594CA1">
        <w:t>Principle</w:t>
      </w:r>
      <w:r w:rsidR="00C328F7">
        <w:t>s</w:t>
      </w:r>
      <w:r w:rsidR="00FB6C6D">
        <w:t xml:space="preserve"> </w:t>
      </w:r>
      <w:r w:rsidR="00394CEC">
        <w:t>“</w:t>
      </w:r>
      <w:r w:rsidR="00394CEC" w:rsidRPr="006F7CED">
        <w:rPr>
          <w:i/>
          <w:iCs/>
        </w:rPr>
        <w:t xml:space="preserve">Provide financial contributions to support local community infrastructure, such as schools, healthcare, highways and sustainable </w:t>
      </w:r>
      <w:proofErr w:type="gramStart"/>
      <w:r w:rsidR="00394CEC" w:rsidRPr="006F7CED">
        <w:rPr>
          <w:i/>
          <w:iCs/>
        </w:rPr>
        <w:t>transport</w:t>
      </w:r>
      <w:r w:rsidR="00394CEC" w:rsidRPr="006F7CED">
        <w:rPr>
          <w:i/>
          <w:iCs/>
        </w:rPr>
        <w:t>“</w:t>
      </w:r>
      <w:proofErr w:type="gramEnd"/>
      <w:r w:rsidR="00290DF9">
        <w:rPr>
          <w:i/>
          <w:iCs/>
        </w:rPr>
        <w:t>.</w:t>
      </w:r>
      <w:r w:rsidR="002D33B2">
        <w:rPr>
          <w:i/>
          <w:iCs/>
        </w:rPr>
        <w:t xml:space="preserve"> </w:t>
      </w:r>
      <w:r w:rsidR="000269BF">
        <w:t xml:space="preserve">It is </w:t>
      </w:r>
      <w:r w:rsidR="00762D3B">
        <w:t>import</w:t>
      </w:r>
      <w:r w:rsidR="009A106A">
        <w:t>ant that</w:t>
      </w:r>
      <w:r w:rsidR="00EA1C43">
        <w:t xml:space="preserve">, </w:t>
      </w:r>
      <w:r w:rsidR="00171C26">
        <w:t>in a</w:t>
      </w:r>
      <w:r w:rsidR="00792422">
        <w:t>ddition to</w:t>
      </w:r>
      <w:r w:rsidR="00306A07">
        <w:t xml:space="preserve"> </w:t>
      </w:r>
      <w:r w:rsidR="009E07E3">
        <w:t>commitments</w:t>
      </w:r>
      <w:r w:rsidR="00D84850">
        <w:t xml:space="preserve"> to </w:t>
      </w:r>
      <w:r w:rsidR="00E347CB">
        <w:t>fina</w:t>
      </w:r>
      <w:r w:rsidR="0003684B">
        <w:t xml:space="preserve">ncial </w:t>
      </w:r>
      <w:r w:rsidR="00C33FB8">
        <w:lastRenderedPageBreak/>
        <w:t>c</w:t>
      </w:r>
      <w:r w:rsidR="00E61A3B">
        <w:t>ontributi</w:t>
      </w:r>
      <w:r w:rsidR="006F6147">
        <w:t>ons,</w:t>
      </w:r>
      <w:r w:rsidR="003502EC">
        <w:t xml:space="preserve"> the </w:t>
      </w:r>
      <w:r w:rsidR="00B01BDF">
        <w:t>appl</w:t>
      </w:r>
      <w:r w:rsidR="00E43D00">
        <w:t xml:space="preserve">ication </w:t>
      </w:r>
      <w:r w:rsidR="00FC161E">
        <w:t xml:space="preserve">includes </w:t>
      </w:r>
      <w:r w:rsidR="005E0C1E">
        <w:t>a thoro</w:t>
      </w:r>
      <w:r w:rsidR="005035D4">
        <w:t>ugh asse</w:t>
      </w:r>
      <w:r w:rsidR="002861D8">
        <w:t xml:space="preserve">ssment of </w:t>
      </w:r>
      <w:r w:rsidR="00FA4EBA">
        <w:t>ex</w:t>
      </w:r>
      <w:r w:rsidR="00F82073">
        <w:t xml:space="preserve">isting </w:t>
      </w:r>
      <w:r w:rsidR="00EC4977">
        <w:t>primar</w:t>
      </w:r>
      <w:r w:rsidR="0093668E">
        <w:t xml:space="preserve">y care </w:t>
      </w:r>
      <w:r w:rsidR="007F7172">
        <w:t>capacit</w:t>
      </w:r>
      <w:r w:rsidR="007E6421">
        <w:t>y</w:t>
      </w:r>
      <w:r w:rsidR="000A3AC9">
        <w:t xml:space="preserve"> and acc</w:t>
      </w:r>
      <w:r w:rsidR="00E9647B">
        <w:t>essibility</w:t>
      </w:r>
      <w:r w:rsidR="00BA79FA">
        <w:t xml:space="preserve"> a</w:t>
      </w:r>
      <w:r w:rsidR="006C496C">
        <w:t xml:space="preserve">gainst the </w:t>
      </w:r>
      <w:r w:rsidR="00AC355C">
        <w:t>dema</w:t>
      </w:r>
      <w:r w:rsidR="009A7DEE">
        <w:t>n</w:t>
      </w:r>
      <w:r w:rsidR="00AF5318">
        <w:t>ds</w:t>
      </w:r>
      <w:r w:rsidR="006D13E1">
        <w:t xml:space="preserve"> of</w:t>
      </w:r>
      <w:r w:rsidR="00352417">
        <w:t xml:space="preserve"> </w:t>
      </w:r>
      <w:r w:rsidR="005E3192">
        <w:t>pr</w:t>
      </w:r>
      <w:r w:rsidR="00E81B0D">
        <w:t xml:space="preserve">ojected </w:t>
      </w:r>
      <w:r w:rsidR="00352417">
        <w:t xml:space="preserve">incoming </w:t>
      </w:r>
      <w:r w:rsidR="00A462E4">
        <w:t>residents</w:t>
      </w:r>
      <w:r w:rsidR="007E6421">
        <w:t>.</w:t>
      </w:r>
      <w:r w:rsidR="00B4175E">
        <w:t xml:space="preserve"> </w:t>
      </w:r>
      <w:r w:rsidR="002B730B">
        <w:t>This</w:t>
      </w:r>
      <w:r w:rsidR="00C05C30">
        <w:t xml:space="preserve"> should inc</w:t>
      </w:r>
      <w:r w:rsidR="009C38B8">
        <w:t>lude G</w:t>
      </w:r>
      <w:r w:rsidR="00AF35EE">
        <w:t>P practi</w:t>
      </w:r>
      <w:r w:rsidR="008F6B86">
        <w:t>ces</w:t>
      </w:r>
      <w:r w:rsidR="00092CCD">
        <w:t>, phar</w:t>
      </w:r>
      <w:r w:rsidR="00294C2B">
        <w:t>macies</w:t>
      </w:r>
      <w:r w:rsidR="0058433B">
        <w:t xml:space="preserve">, </w:t>
      </w:r>
      <w:r w:rsidR="00614A4C">
        <w:t>opticians</w:t>
      </w:r>
      <w:r w:rsidR="005E0789">
        <w:t xml:space="preserve"> and de</w:t>
      </w:r>
      <w:r w:rsidR="00E20A80">
        <w:t>nt</w:t>
      </w:r>
      <w:r w:rsidR="0067332B">
        <w:t>al prac</w:t>
      </w:r>
      <w:r w:rsidR="00A81C07">
        <w:t>tices.</w:t>
      </w:r>
      <w:r w:rsidR="00BC6D0D">
        <w:t xml:space="preserve"> Any id</w:t>
      </w:r>
      <w:r w:rsidR="00AF7555">
        <w:t xml:space="preserve">entified </w:t>
      </w:r>
      <w:r w:rsidR="006B3DE8">
        <w:t>gaps in provision</w:t>
      </w:r>
      <w:r w:rsidR="003B5454">
        <w:t xml:space="preserve"> should be </w:t>
      </w:r>
      <w:r w:rsidR="00F27202">
        <w:t>supporte</w:t>
      </w:r>
      <w:r w:rsidR="00A10ADF">
        <w:t xml:space="preserve">d by </w:t>
      </w:r>
      <w:r w:rsidR="004A706C">
        <w:t>mitig</w:t>
      </w:r>
      <w:r w:rsidR="00640896">
        <w:t>ations.</w:t>
      </w:r>
      <w:r w:rsidR="00D913C1">
        <w:t xml:space="preserve"> </w:t>
      </w:r>
    </w:p>
    <w:p w14:paraId="5A8CEFF7" w14:textId="77777777" w:rsidR="00095D67" w:rsidRDefault="00441F12" w:rsidP="000049A9">
      <w:r>
        <w:t>It i</w:t>
      </w:r>
      <w:r w:rsidR="00850B97">
        <w:t xml:space="preserve">s noted that </w:t>
      </w:r>
      <w:r w:rsidR="00C66444">
        <w:t>P</w:t>
      </w:r>
      <w:r w:rsidR="00CE5CD6">
        <w:t>o</w:t>
      </w:r>
      <w:r w:rsidR="00486FCF">
        <w:t>l</w:t>
      </w:r>
      <w:r w:rsidR="00A72CC0">
        <w:t>icy</w:t>
      </w:r>
      <w:r w:rsidR="004D13EB">
        <w:t xml:space="preserve"> AP14 of </w:t>
      </w:r>
      <w:r w:rsidR="00F65F02">
        <w:t xml:space="preserve">West </w:t>
      </w:r>
      <w:r w:rsidR="00000F08">
        <w:t xml:space="preserve">Suffolk </w:t>
      </w:r>
      <w:r w:rsidR="007A5D93">
        <w:t>Local P</w:t>
      </w:r>
      <w:r w:rsidR="00AB6445">
        <w:t>lan</w:t>
      </w:r>
      <w:r w:rsidR="00694942">
        <w:t xml:space="preserve"> </w:t>
      </w:r>
      <w:r w:rsidR="003A6C74">
        <w:t xml:space="preserve">states </w:t>
      </w:r>
      <w:r w:rsidR="00933CDB">
        <w:t>that</w:t>
      </w:r>
      <w:r w:rsidR="00A72CC0">
        <w:t xml:space="preserve"> </w:t>
      </w:r>
      <w:r w:rsidR="00A72CC0" w:rsidRPr="00A72CC0">
        <w:t>0.3 hectares of land should be reserved for health uses.</w:t>
      </w:r>
      <w:r w:rsidR="00A81C07">
        <w:t xml:space="preserve"> </w:t>
      </w:r>
      <w:r w:rsidR="00B339F9">
        <w:t>Giv</w:t>
      </w:r>
      <w:r w:rsidR="00AD0785">
        <w:t>en this s</w:t>
      </w:r>
      <w:r w:rsidR="005271A8">
        <w:t>pecific</w:t>
      </w:r>
      <w:r w:rsidR="00207E97">
        <w:t xml:space="preserve"> pol</w:t>
      </w:r>
      <w:r w:rsidR="004B601D">
        <w:t>icy</w:t>
      </w:r>
      <w:r w:rsidR="00441C9D">
        <w:t xml:space="preserve"> requ</w:t>
      </w:r>
      <w:r w:rsidR="004A7BE3">
        <w:t>irement,</w:t>
      </w:r>
      <w:r w:rsidR="001738F0">
        <w:t xml:space="preserve"> </w:t>
      </w:r>
      <w:r w:rsidR="00A41FDC">
        <w:t xml:space="preserve">it would be </w:t>
      </w:r>
      <w:r w:rsidR="00D16FD8">
        <w:t xml:space="preserve">appropriate </w:t>
      </w:r>
      <w:r w:rsidR="009660BE">
        <w:t>for future iter</w:t>
      </w:r>
      <w:r w:rsidR="004B32CF">
        <w:t>ation of HI</w:t>
      </w:r>
      <w:r w:rsidR="0033152A">
        <w:t>As</w:t>
      </w:r>
      <w:r w:rsidR="00502CA7">
        <w:t xml:space="preserve"> rel</w:t>
      </w:r>
      <w:r w:rsidR="00527B8A">
        <w:t>ating to t</w:t>
      </w:r>
      <w:r w:rsidR="000A5761">
        <w:t xml:space="preserve">he </w:t>
      </w:r>
      <w:r w:rsidR="00014CEF">
        <w:t>deve</w:t>
      </w:r>
      <w:r w:rsidR="008C52FA">
        <w:t xml:space="preserve">lopment to </w:t>
      </w:r>
      <w:r w:rsidR="00FE3F42">
        <w:t>c</w:t>
      </w:r>
      <w:r w:rsidR="00DD3CC3">
        <w:t>learly set out</w:t>
      </w:r>
      <w:r w:rsidR="00006F04">
        <w:t xml:space="preserve"> how </w:t>
      </w:r>
      <w:r w:rsidR="0098452E">
        <w:t xml:space="preserve">the </w:t>
      </w:r>
      <w:r w:rsidR="00F50974">
        <w:t>reserved la</w:t>
      </w:r>
      <w:r w:rsidR="00EE608C">
        <w:t xml:space="preserve">nd </w:t>
      </w:r>
      <w:r w:rsidR="001A44AC">
        <w:t xml:space="preserve">for </w:t>
      </w:r>
      <w:r w:rsidR="00B93268">
        <w:t>health use</w:t>
      </w:r>
      <w:r w:rsidR="00E02D14">
        <w:t>s will</w:t>
      </w:r>
      <w:r w:rsidR="00C77360">
        <w:t xml:space="preserve"> be bro</w:t>
      </w:r>
      <w:r w:rsidR="001A0F4C">
        <w:t>ught for</w:t>
      </w:r>
      <w:r w:rsidR="006A3859">
        <w:t>ward.</w:t>
      </w:r>
      <w:r w:rsidR="00DD66D3">
        <w:t xml:space="preserve"> This </w:t>
      </w:r>
      <w:r w:rsidR="00B2394F">
        <w:t>should incl</w:t>
      </w:r>
      <w:r w:rsidR="003B7613">
        <w:t xml:space="preserve">ude </w:t>
      </w:r>
      <w:r w:rsidR="00FB374D">
        <w:t>det</w:t>
      </w:r>
      <w:r w:rsidR="00B4629A">
        <w:t xml:space="preserve">ail on the </w:t>
      </w:r>
      <w:r w:rsidR="002D6AEA">
        <w:t>timing</w:t>
      </w:r>
      <w:r w:rsidR="00812177">
        <w:t>,</w:t>
      </w:r>
      <w:r w:rsidR="0040083E">
        <w:t xml:space="preserve"> deli</w:t>
      </w:r>
      <w:r w:rsidR="007D239C">
        <w:t>very</w:t>
      </w:r>
      <w:r w:rsidR="007A36B9">
        <w:t xml:space="preserve"> and acc</w:t>
      </w:r>
      <w:r w:rsidR="00FE0D42">
        <w:t>ess</w:t>
      </w:r>
      <w:r w:rsidR="00BF5365">
        <w:t>ibilit</w:t>
      </w:r>
      <w:r w:rsidR="003744B6">
        <w:t>y</w:t>
      </w:r>
      <w:r w:rsidR="007D239C">
        <w:t xml:space="preserve"> </w:t>
      </w:r>
      <w:r w:rsidR="001419E9">
        <w:t xml:space="preserve">of </w:t>
      </w:r>
      <w:r w:rsidR="0043141A">
        <w:t xml:space="preserve">the </w:t>
      </w:r>
      <w:r w:rsidR="009049AC">
        <w:t>f</w:t>
      </w:r>
      <w:r w:rsidR="00E74DF2">
        <w:t>acil</w:t>
      </w:r>
      <w:r w:rsidR="00956C69">
        <w:t>ities</w:t>
      </w:r>
      <w:r w:rsidR="007E1582">
        <w:t xml:space="preserve"> e</w:t>
      </w:r>
      <w:r w:rsidR="008A6478">
        <w:t>nsuring</w:t>
      </w:r>
      <w:r w:rsidR="00312D9E">
        <w:t xml:space="preserve"> the n</w:t>
      </w:r>
      <w:r w:rsidR="00696D02">
        <w:t>eeds o</w:t>
      </w:r>
      <w:r w:rsidR="00B34D72">
        <w:t>f</w:t>
      </w:r>
      <w:r w:rsidR="00195421">
        <w:t xml:space="preserve"> b</w:t>
      </w:r>
      <w:r w:rsidR="006D3C55">
        <w:t xml:space="preserve">oth </w:t>
      </w:r>
      <w:r w:rsidR="00302FA1">
        <w:t>existing</w:t>
      </w:r>
      <w:r w:rsidR="00DE1A0F">
        <w:t xml:space="preserve"> and new resid</w:t>
      </w:r>
      <w:r w:rsidR="00134548">
        <w:t>ents</w:t>
      </w:r>
      <w:r w:rsidR="002E10C1">
        <w:t xml:space="preserve"> </w:t>
      </w:r>
      <w:r w:rsidR="00C953B3">
        <w:t>are met</w:t>
      </w:r>
      <w:r w:rsidR="00AE2E52">
        <w:t>.</w:t>
      </w:r>
      <w:r w:rsidR="002C2C31">
        <w:t xml:space="preserve"> </w:t>
      </w:r>
    </w:p>
    <w:p w14:paraId="5893296F" w14:textId="13A5ED09" w:rsidR="00095D67" w:rsidRPr="00095D67" w:rsidRDefault="00095D67" w:rsidP="000049A9">
      <w:pPr>
        <w:rPr>
          <w:b/>
          <w:bCs/>
        </w:rPr>
      </w:pPr>
      <w:r w:rsidRPr="00095D67">
        <w:rPr>
          <w:b/>
          <w:bCs/>
        </w:rPr>
        <w:t>Air Quality</w:t>
      </w:r>
    </w:p>
    <w:p w14:paraId="59AD2289" w14:textId="71910EB9" w:rsidR="00A36570" w:rsidRDefault="006E368B" w:rsidP="000049A9">
      <w:pPr>
        <w:rPr>
          <w:i/>
        </w:rPr>
      </w:pPr>
      <w:r>
        <w:t>The</w:t>
      </w:r>
      <w:r w:rsidR="000F338C">
        <w:t xml:space="preserve"> data set out in the</w:t>
      </w:r>
      <w:r>
        <w:t xml:space="preserve"> HIA </w:t>
      </w:r>
      <w:r w:rsidR="00577BE7" w:rsidRPr="00577BE7">
        <w:rPr>
          <w:i/>
          <w:iCs/>
        </w:rPr>
        <w:t>‘</w:t>
      </w:r>
      <w:r w:rsidR="000F338C" w:rsidRPr="00577BE7">
        <w:rPr>
          <w:i/>
          <w:iCs/>
        </w:rPr>
        <w:t>creates a picture of Haverhill as one of the more deprived areas in West Suffolk, with lifestyle, employment and socio-economic factors meaning they are more at risk of illnesses such as diabetes, heart disease, and depression resulting in self-harm.</w:t>
      </w:r>
      <w:r w:rsidR="00577BE7" w:rsidRPr="00577BE7">
        <w:rPr>
          <w:i/>
          <w:iCs/>
        </w:rPr>
        <w:t>’</w:t>
      </w:r>
      <w:r w:rsidR="000F338C" w:rsidRPr="000F338C">
        <w:t xml:space="preserve"> </w:t>
      </w:r>
    </w:p>
    <w:p w14:paraId="1FAEE3AD" w14:textId="11316477" w:rsidR="000D75EA" w:rsidRDefault="000D75EA" w:rsidP="000049A9">
      <w:r>
        <w:t xml:space="preserve">It is individuals from more deprived </w:t>
      </w:r>
      <w:r w:rsidR="00DA5549">
        <w:t>area</w:t>
      </w:r>
      <w:r w:rsidR="005E7F64">
        <w:t>s</w:t>
      </w:r>
      <w:r>
        <w:t>,</w:t>
      </w:r>
      <w:r w:rsidR="00DA5549">
        <w:t xml:space="preserve"> those with existing health conditions and chil</w:t>
      </w:r>
      <w:r w:rsidR="00DA077C">
        <w:t>dren (</w:t>
      </w:r>
      <w:r w:rsidR="00DA5549">
        <w:t xml:space="preserve">Haverhill has a </w:t>
      </w:r>
      <w:r w:rsidR="005A2BBE">
        <w:t>higher-than-average</w:t>
      </w:r>
      <w:r w:rsidR="009E2377">
        <w:t xml:space="preserve"> </w:t>
      </w:r>
      <w:r w:rsidR="0032641C">
        <w:t>percenta</w:t>
      </w:r>
      <w:r w:rsidR="00DA077C">
        <w:t xml:space="preserve">ge of 0 – </w:t>
      </w:r>
      <w:proofErr w:type="gramStart"/>
      <w:r w:rsidR="00DA077C">
        <w:t>14 year olds</w:t>
      </w:r>
      <w:proofErr w:type="gramEnd"/>
      <w:r w:rsidR="009E2377">
        <w:t>)</w:t>
      </w:r>
      <w:r w:rsidR="005E7F64">
        <w:t xml:space="preserve"> that are </w:t>
      </w:r>
      <w:r w:rsidR="00BD6253">
        <w:t xml:space="preserve">more </w:t>
      </w:r>
      <w:r w:rsidR="005E7F64">
        <w:t>at risk from the health effects of poor air quality.</w:t>
      </w:r>
    </w:p>
    <w:p w14:paraId="5184D6A9" w14:textId="5D95DCCD" w:rsidR="003205FD" w:rsidRDefault="004F68C1" w:rsidP="000049A9">
      <w:r>
        <w:t>Poor air quality is linked to a</w:t>
      </w:r>
      <w:r w:rsidR="00C812D4">
        <w:t xml:space="preserve"> </w:t>
      </w:r>
      <w:r>
        <w:t>range of health conditions from asthma and COPD to heart disease</w:t>
      </w:r>
      <w:r w:rsidR="003205FD">
        <w:t xml:space="preserve">, </w:t>
      </w:r>
      <w:r>
        <w:t>stroke</w:t>
      </w:r>
      <w:r w:rsidR="003205FD">
        <w:t xml:space="preserve"> and mental </w:t>
      </w:r>
      <w:r w:rsidR="00F401EE">
        <w:t>ill health</w:t>
      </w:r>
      <w:r>
        <w:t>.</w:t>
      </w:r>
      <w:r w:rsidR="00905C45">
        <w:t xml:space="preserve">  </w:t>
      </w:r>
    </w:p>
    <w:p w14:paraId="1339B289" w14:textId="77777777" w:rsidR="00A7697F" w:rsidRDefault="00905C45" w:rsidP="000049A9">
      <w:r>
        <w:t xml:space="preserve">The </w:t>
      </w:r>
      <w:r w:rsidR="003205FD">
        <w:t>documentation for</w:t>
      </w:r>
      <w:r w:rsidR="00A7697F">
        <w:t xml:space="preserve"> the proposed development</w:t>
      </w:r>
      <w:r>
        <w:t xml:space="preserve"> make</w:t>
      </w:r>
      <w:r w:rsidR="00A7697F">
        <w:t>s</w:t>
      </w:r>
      <w:r>
        <w:t xml:space="preserve"> no reference to</w:t>
      </w:r>
      <w:r w:rsidR="00131772">
        <w:t xml:space="preserve"> air quality and the impact the proposed development will have on local levels</w:t>
      </w:r>
      <w:r w:rsidR="00A7697F">
        <w:t xml:space="preserve"> of harmful pollutants</w:t>
      </w:r>
      <w:r w:rsidR="00131772">
        <w:t xml:space="preserve">. </w:t>
      </w:r>
    </w:p>
    <w:p w14:paraId="370D2E2F" w14:textId="53FA90AF" w:rsidR="008B3348" w:rsidRPr="00F50353" w:rsidRDefault="00A7697F" w:rsidP="000049A9">
      <w:r>
        <w:t>Notably t</w:t>
      </w:r>
      <w:r w:rsidR="00131772">
        <w:t xml:space="preserve">here is no Air Quality Impact Assessment included within </w:t>
      </w:r>
      <w:r w:rsidR="00CD0FBF">
        <w:t xml:space="preserve">the </w:t>
      </w:r>
      <w:r w:rsidR="00131772">
        <w:t>planning documentation.</w:t>
      </w:r>
      <w:r w:rsidR="00874375">
        <w:t xml:space="preserve"> The planning application relates to 250 new dwellings </w:t>
      </w:r>
      <w:r w:rsidR="00CD0FBF">
        <w:t xml:space="preserve">with </w:t>
      </w:r>
      <w:r w:rsidR="00874375">
        <w:t xml:space="preserve">669 parking </w:t>
      </w:r>
      <w:proofErr w:type="gramStart"/>
      <w:r w:rsidR="00874375">
        <w:t>spaces</w:t>
      </w:r>
      <w:r w:rsidR="000C54D3">
        <w:t>,</w:t>
      </w:r>
      <w:proofErr w:type="gramEnd"/>
      <w:r w:rsidR="000C54D3">
        <w:t xml:space="preserve"> air pollution will be generated through the construction process and then once</w:t>
      </w:r>
      <w:r w:rsidR="00B97C6A">
        <w:t xml:space="preserve"> the homes are inhabited. </w:t>
      </w:r>
      <w:r w:rsidR="00824C19" w:rsidRPr="00824C19">
        <w:t>Given the scale of the development and the associated increase in both construction-related and residential traffic,</w:t>
      </w:r>
      <w:r w:rsidR="00D14A53">
        <w:t xml:space="preserve"> Public Health believe</w:t>
      </w:r>
      <w:r w:rsidR="00824C19" w:rsidRPr="00824C19">
        <w:t xml:space="preserve"> an Air Quality Impact Assessment is appropriate to assess the potential effects on local air quality levels and to ensure the protection of the health and wellbeing of local residents, particularly those more vulnerable to the health impacts of poor air quality.</w:t>
      </w:r>
    </w:p>
    <w:sectPr w:rsidR="008B3348" w:rsidRPr="00F503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Bold">
    <w:altName w:val="Verdana"/>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241E5"/>
    <w:multiLevelType w:val="multilevel"/>
    <w:tmpl w:val="3F201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A82F16"/>
    <w:multiLevelType w:val="multilevel"/>
    <w:tmpl w:val="24BEDE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D938F8"/>
    <w:multiLevelType w:val="multilevel"/>
    <w:tmpl w:val="82602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2427B0"/>
    <w:multiLevelType w:val="multilevel"/>
    <w:tmpl w:val="66900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1233588">
    <w:abstractNumId w:val="2"/>
  </w:num>
  <w:num w:numId="2" w16cid:durableId="482698566">
    <w:abstractNumId w:val="1"/>
  </w:num>
  <w:num w:numId="3" w16cid:durableId="833179088">
    <w:abstractNumId w:val="0"/>
  </w:num>
  <w:num w:numId="4" w16cid:durableId="9771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055"/>
    <w:rsid w:val="00000F08"/>
    <w:rsid w:val="000049A9"/>
    <w:rsid w:val="000056C6"/>
    <w:rsid w:val="00006084"/>
    <w:rsid w:val="00006F04"/>
    <w:rsid w:val="00014CEF"/>
    <w:rsid w:val="00022467"/>
    <w:rsid w:val="000269BF"/>
    <w:rsid w:val="0003684B"/>
    <w:rsid w:val="000470B7"/>
    <w:rsid w:val="000529E2"/>
    <w:rsid w:val="000544A7"/>
    <w:rsid w:val="000560DB"/>
    <w:rsid w:val="00071A92"/>
    <w:rsid w:val="00077922"/>
    <w:rsid w:val="00081F0A"/>
    <w:rsid w:val="00092CCD"/>
    <w:rsid w:val="00093AC3"/>
    <w:rsid w:val="00095D67"/>
    <w:rsid w:val="000A3AC9"/>
    <w:rsid w:val="000A4557"/>
    <w:rsid w:val="000A5761"/>
    <w:rsid w:val="000A671E"/>
    <w:rsid w:val="000B3A7C"/>
    <w:rsid w:val="000C0154"/>
    <w:rsid w:val="000C54D3"/>
    <w:rsid w:val="000D75EA"/>
    <w:rsid w:val="000E7B57"/>
    <w:rsid w:val="000F338C"/>
    <w:rsid w:val="00100442"/>
    <w:rsid w:val="00103AFA"/>
    <w:rsid w:val="0012081E"/>
    <w:rsid w:val="00131772"/>
    <w:rsid w:val="00134548"/>
    <w:rsid w:val="001361E9"/>
    <w:rsid w:val="001419E9"/>
    <w:rsid w:val="00143633"/>
    <w:rsid w:val="001454C3"/>
    <w:rsid w:val="00154D2F"/>
    <w:rsid w:val="0016698E"/>
    <w:rsid w:val="0016704F"/>
    <w:rsid w:val="00171C26"/>
    <w:rsid w:val="001738F0"/>
    <w:rsid w:val="001816C4"/>
    <w:rsid w:val="00183E70"/>
    <w:rsid w:val="00190418"/>
    <w:rsid w:val="00192310"/>
    <w:rsid w:val="00195421"/>
    <w:rsid w:val="001A0F4C"/>
    <w:rsid w:val="001A44AC"/>
    <w:rsid w:val="001A4A13"/>
    <w:rsid w:val="001C0A61"/>
    <w:rsid w:val="001C3A34"/>
    <w:rsid w:val="001C4C00"/>
    <w:rsid w:val="001C73C4"/>
    <w:rsid w:val="001D614B"/>
    <w:rsid w:val="001D758B"/>
    <w:rsid w:val="00207E97"/>
    <w:rsid w:val="002106F1"/>
    <w:rsid w:val="002168A7"/>
    <w:rsid w:val="0024272D"/>
    <w:rsid w:val="00243F7C"/>
    <w:rsid w:val="00252662"/>
    <w:rsid w:val="00282F84"/>
    <w:rsid w:val="002861D8"/>
    <w:rsid w:val="00290DF9"/>
    <w:rsid w:val="00294C2B"/>
    <w:rsid w:val="002B0562"/>
    <w:rsid w:val="002B730B"/>
    <w:rsid w:val="002B7E61"/>
    <w:rsid w:val="002C2C31"/>
    <w:rsid w:val="002C2F5E"/>
    <w:rsid w:val="002C6344"/>
    <w:rsid w:val="002D33B2"/>
    <w:rsid w:val="002D6AEA"/>
    <w:rsid w:val="002E10C1"/>
    <w:rsid w:val="00302FA1"/>
    <w:rsid w:val="00305F3B"/>
    <w:rsid w:val="00306A07"/>
    <w:rsid w:val="00312D9E"/>
    <w:rsid w:val="00315338"/>
    <w:rsid w:val="003205FD"/>
    <w:rsid w:val="003231D1"/>
    <w:rsid w:val="0032641C"/>
    <w:rsid w:val="0033152A"/>
    <w:rsid w:val="00333777"/>
    <w:rsid w:val="003502EC"/>
    <w:rsid w:val="00352417"/>
    <w:rsid w:val="00353E72"/>
    <w:rsid w:val="003545CD"/>
    <w:rsid w:val="00361652"/>
    <w:rsid w:val="003629E7"/>
    <w:rsid w:val="003744B6"/>
    <w:rsid w:val="00394CEC"/>
    <w:rsid w:val="003A54BA"/>
    <w:rsid w:val="003A6C74"/>
    <w:rsid w:val="003B153F"/>
    <w:rsid w:val="003B2FF7"/>
    <w:rsid w:val="003B440F"/>
    <w:rsid w:val="003B5454"/>
    <w:rsid w:val="003B5C4B"/>
    <w:rsid w:val="003B7613"/>
    <w:rsid w:val="003B78B1"/>
    <w:rsid w:val="003D6FA4"/>
    <w:rsid w:val="003E203F"/>
    <w:rsid w:val="003F0524"/>
    <w:rsid w:val="003F055D"/>
    <w:rsid w:val="0040083E"/>
    <w:rsid w:val="00403217"/>
    <w:rsid w:val="004134DC"/>
    <w:rsid w:val="0043141A"/>
    <w:rsid w:val="00441C9D"/>
    <w:rsid w:val="00441F12"/>
    <w:rsid w:val="0045178B"/>
    <w:rsid w:val="00485377"/>
    <w:rsid w:val="00486FCF"/>
    <w:rsid w:val="00496037"/>
    <w:rsid w:val="004A706C"/>
    <w:rsid w:val="004A7BE3"/>
    <w:rsid w:val="004B32CF"/>
    <w:rsid w:val="004B601D"/>
    <w:rsid w:val="004D13EB"/>
    <w:rsid w:val="004D5831"/>
    <w:rsid w:val="004D7F12"/>
    <w:rsid w:val="004F68C1"/>
    <w:rsid w:val="00502CA7"/>
    <w:rsid w:val="005035D4"/>
    <w:rsid w:val="0051101D"/>
    <w:rsid w:val="00522A9B"/>
    <w:rsid w:val="005270E3"/>
    <w:rsid w:val="005271A8"/>
    <w:rsid w:val="005275C6"/>
    <w:rsid w:val="00527B8A"/>
    <w:rsid w:val="00535B60"/>
    <w:rsid w:val="00560AA2"/>
    <w:rsid w:val="00563A43"/>
    <w:rsid w:val="00577BE7"/>
    <w:rsid w:val="00581385"/>
    <w:rsid w:val="00582BD7"/>
    <w:rsid w:val="0058433B"/>
    <w:rsid w:val="00586807"/>
    <w:rsid w:val="00590F41"/>
    <w:rsid w:val="00591BB6"/>
    <w:rsid w:val="00594CA1"/>
    <w:rsid w:val="005A2BBE"/>
    <w:rsid w:val="005B1167"/>
    <w:rsid w:val="005B36BD"/>
    <w:rsid w:val="005C41B4"/>
    <w:rsid w:val="005E0789"/>
    <w:rsid w:val="005E0C1E"/>
    <w:rsid w:val="005E3192"/>
    <w:rsid w:val="005E7F64"/>
    <w:rsid w:val="005F5CDA"/>
    <w:rsid w:val="00614A4C"/>
    <w:rsid w:val="0063021F"/>
    <w:rsid w:val="00634EB4"/>
    <w:rsid w:val="00640896"/>
    <w:rsid w:val="00647787"/>
    <w:rsid w:val="006614CA"/>
    <w:rsid w:val="00664928"/>
    <w:rsid w:val="0067332B"/>
    <w:rsid w:val="006878B4"/>
    <w:rsid w:val="00690298"/>
    <w:rsid w:val="00694942"/>
    <w:rsid w:val="00694E52"/>
    <w:rsid w:val="00696D02"/>
    <w:rsid w:val="006A3859"/>
    <w:rsid w:val="006B3DE8"/>
    <w:rsid w:val="006C496C"/>
    <w:rsid w:val="006D13E1"/>
    <w:rsid w:val="006D3C55"/>
    <w:rsid w:val="006E368B"/>
    <w:rsid w:val="006F6147"/>
    <w:rsid w:val="006F6303"/>
    <w:rsid w:val="006F7CED"/>
    <w:rsid w:val="00705716"/>
    <w:rsid w:val="0071075C"/>
    <w:rsid w:val="00747020"/>
    <w:rsid w:val="0075071F"/>
    <w:rsid w:val="00754B2B"/>
    <w:rsid w:val="00760965"/>
    <w:rsid w:val="00762D3B"/>
    <w:rsid w:val="00785298"/>
    <w:rsid w:val="00792422"/>
    <w:rsid w:val="007A36B9"/>
    <w:rsid w:val="007A5D93"/>
    <w:rsid w:val="007B5417"/>
    <w:rsid w:val="007C3B31"/>
    <w:rsid w:val="007D239C"/>
    <w:rsid w:val="007E09C8"/>
    <w:rsid w:val="007E1582"/>
    <w:rsid w:val="007E6421"/>
    <w:rsid w:val="007F62B2"/>
    <w:rsid w:val="007F7172"/>
    <w:rsid w:val="00812177"/>
    <w:rsid w:val="00812B7C"/>
    <w:rsid w:val="00824C19"/>
    <w:rsid w:val="00826204"/>
    <w:rsid w:val="00832E27"/>
    <w:rsid w:val="0083739D"/>
    <w:rsid w:val="00850B97"/>
    <w:rsid w:val="00853D51"/>
    <w:rsid w:val="0085506A"/>
    <w:rsid w:val="00870FB5"/>
    <w:rsid w:val="00872D98"/>
    <w:rsid w:val="00874375"/>
    <w:rsid w:val="00876FDD"/>
    <w:rsid w:val="00886BDA"/>
    <w:rsid w:val="008A14DD"/>
    <w:rsid w:val="008A29F0"/>
    <w:rsid w:val="008A6478"/>
    <w:rsid w:val="008B3348"/>
    <w:rsid w:val="008C52FA"/>
    <w:rsid w:val="008D296A"/>
    <w:rsid w:val="008D2980"/>
    <w:rsid w:val="008F513F"/>
    <w:rsid w:val="008F6B86"/>
    <w:rsid w:val="009003EC"/>
    <w:rsid w:val="009049AC"/>
    <w:rsid w:val="00905C45"/>
    <w:rsid w:val="00933CDB"/>
    <w:rsid w:val="0093668E"/>
    <w:rsid w:val="00936AC1"/>
    <w:rsid w:val="00947679"/>
    <w:rsid w:val="00956C69"/>
    <w:rsid w:val="009660BE"/>
    <w:rsid w:val="00967C9E"/>
    <w:rsid w:val="00976B87"/>
    <w:rsid w:val="00976E24"/>
    <w:rsid w:val="00984251"/>
    <w:rsid w:val="0098452E"/>
    <w:rsid w:val="00996B2F"/>
    <w:rsid w:val="00997A71"/>
    <w:rsid w:val="009A106A"/>
    <w:rsid w:val="009A7DEE"/>
    <w:rsid w:val="009B406E"/>
    <w:rsid w:val="009B43AB"/>
    <w:rsid w:val="009C38B8"/>
    <w:rsid w:val="009D6431"/>
    <w:rsid w:val="009E07E3"/>
    <w:rsid w:val="009E2377"/>
    <w:rsid w:val="009F28F1"/>
    <w:rsid w:val="009F54BA"/>
    <w:rsid w:val="00A004C7"/>
    <w:rsid w:val="00A01CC0"/>
    <w:rsid w:val="00A03008"/>
    <w:rsid w:val="00A10ADF"/>
    <w:rsid w:val="00A209D0"/>
    <w:rsid w:val="00A213DC"/>
    <w:rsid w:val="00A2698F"/>
    <w:rsid w:val="00A301E5"/>
    <w:rsid w:val="00A360F9"/>
    <w:rsid w:val="00A36570"/>
    <w:rsid w:val="00A41FDC"/>
    <w:rsid w:val="00A462E4"/>
    <w:rsid w:val="00A474FF"/>
    <w:rsid w:val="00A536B2"/>
    <w:rsid w:val="00A5381C"/>
    <w:rsid w:val="00A64CA7"/>
    <w:rsid w:val="00A72CC0"/>
    <w:rsid w:val="00A7697F"/>
    <w:rsid w:val="00A81C07"/>
    <w:rsid w:val="00A83B5F"/>
    <w:rsid w:val="00A83DBC"/>
    <w:rsid w:val="00AA7368"/>
    <w:rsid w:val="00AB493B"/>
    <w:rsid w:val="00AB6445"/>
    <w:rsid w:val="00AC355C"/>
    <w:rsid w:val="00AD0785"/>
    <w:rsid w:val="00AD20FF"/>
    <w:rsid w:val="00AD339F"/>
    <w:rsid w:val="00AE0D25"/>
    <w:rsid w:val="00AE22EA"/>
    <w:rsid w:val="00AE2E52"/>
    <w:rsid w:val="00AF35EE"/>
    <w:rsid w:val="00AF45FA"/>
    <w:rsid w:val="00AF5318"/>
    <w:rsid w:val="00AF5EF1"/>
    <w:rsid w:val="00AF7555"/>
    <w:rsid w:val="00B01BDF"/>
    <w:rsid w:val="00B2394F"/>
    <w:rsid w:val="00B24C28"/>
    <w:rsid w:val="00B253F8"/>
    <w:rsid w:val="00B339F9"/>
    <w:rsid w:val="00B34D72"/>
    <w:rsid w:val="00B4175E"/>
    <w:rsid w:val="00B4629A"/>
    <w:rsid w:val="00B51B07"/>
    <w:rsid w:val="00B548B3"/>
    <w:rsid w:val="00B5746F"/>
    <w:rsid w:val="00B6013E"/>
    <w:rsid w:val="00B913B0"/>
    <w:rsid w:val="00B93268"/>
    <w:rsid w:val="00B970E2"/>
    <w:rsid w:val="00B97C6A"/>
    <w:rsid w:val="00BA6777"/>
    <w:rsid w:val="00BA79FA"/>
    <w:rsid w:val="00BB4AA0"/>
    <w:rsid w:val="00BC6D0D"/>
    <w:rsid w:val="00BC7F9D"/>
    <w:rsid w:val="00BD5979"/>
    <w:rsid w:val="00BD6253"/>
    <w:rsid w:val="00BE412F"/>
    <w:rsid w:val="00BE5FD5"/>
    <w:rsid w:val="00BF2B4C"/>
    <w:rsid w:val="00BF5365"/>
    <w:rsid w:val="00BF6341"/>
    <w:rsid w:val="00C05C30"/>
    <w:rsid w:val="00C328F7"/>
    <w:rsid w:val="00C33FB8"/>
    <w:rsid w:val="00C42989"/>
    <w:rsid w:val="00C44F47"/>
    <w:rsid w:val="00C60941"/>
    <w:rsid w:val="00C66444"/>
    <w:rsid w:val="00C668B1"/>
    <w:rsid w:val="00C71262"/>
    <w:rsid w:val="00C74801"/>
    <w:rsid w:val="00C75A52"/>
    <w:rsid w:val="00C77360"/>
    <w:rsid w:val="00C812D4"/>
    <w:rsid w:val="00C821F8"/>
    <w:rsid w:val="00C84055"/>
    <w:rsid w:val="00C879B4"/>
    <w:rsid w:val="00C953B3"/>
    <w:rsid w:val="00C95FEB"/>
    <w:rsid w:val="00CA6266"/>
    <w:rsid w:val="00CB3A6F"/>
    <w:rsid w:val="00CB6830"/>
    <w:rsid w:val="00CC43E5"/>
    <w:rsid w:val="00CD0FBF"/>
    <w:rsid w:val="00CD3F23"/>
    <w:rsid w:val="00CE087F"/>
    <w:rsid w:val="00CE3D01"/>
    <w:rsid w:val="00CE5CD6"/>
    <w:rsid w:val="00D0219D"/>
    <w:rsid w:val="00D0351B"/>
    <w:rsid w:val="00D05695"/>
    <w:rsid w:val="00D12A09"/>
    <w:rsid w:val="00D14A53"/>
    <w:rsid w:val="00D153ED"/>
    <w:rsid w:val="00D16FD8"/>
    <w:rsid w:val="00D258D2"/>
    <w:rsid w:val="00D305EB"/>
    <w:rsid w:val="00D434F6"/>
    <w:rsid w:val="00D668D1"/>
    <w:rsid w:val="00D71695"/>
    <w:rsid w:val="00D740D4"/>
    <w:rsid w:val="00D84850"/>
    <w:rsid w:val="00D913C1"/>
    <w:rsid w:val="00D954D5"/>
    <w:rsid w:val="00DA077C"/>
    <w:rsid w:val="00DA5549"/>
    <w:rsid w:val="00DC03C7"/>
    <w:rsid w:val="00DC1744"/>
    <w:rsid w:val="00DD3CC3"/>
    <w:rsid w:val="00DD4A30"/>
    <w:rsid w:val="00DD66D3"/>
    <w:rsid w:val="00DE11AF"/>
    <w:rsid w:val="00DE1A0F"/>
    <w:rsid w:val="00DE735F"/>
    <w:rsid w:val="00DF25CE"/>
    <w:rsid w:val="00DF4646"/>
    <w:rsid w:val="00E02D14"/>
    <w:rsid w:val="00E031D8"/>
    <w:rsid w:val="00E1601B"/>
    <w:rsid w:val="00E20A80"/>
    <w:rsid w:val="00E23CCC"/>
    <w:rsid w:val="00E331D7"/>
    <w:rsid w:val="00E341C7"/>
    <w:rsid w:val="00E347CB"/>
    <w:rsid w:val="00E34EFC"/>
    <w:rsid w:val="00E43D00"/>
    <w:rsid w:val="00E57060"/>
    <w:rsid w:val="00E61A3B"/>
    <w:rsid w:val="00E71FAF"/>
    <w:rsid w:val="00E72ACD"/>
    <w:rsid w:val="00E74DF2"/>
    <w:rsid w:val="00E81926"/>
    <w:rsid w:val="00E81B0D"/>
    <w:rsid w:val="00E83AE5"/>
    <w:rsid w:val="00E9647B"/>
    <w:rsid w:val="00E970F8"/>
    <w:rsid w:val="00EA1C43"/>
    <w:rsid w:val="00EA7A42"/>
    <w:rsid w:val="00EB01DC"/>
    <w:rsid w:val="00EC05E7"/>
    <w:rsid w:val="00EC4977"/>
    <w:rsid w:val="00EE11DD"/>
    <w:rsid w:val="00EE608C"/>
    <w:rsid w:val="00F03A69"/>
    <w:rsid w:val="00F06893"/>
    <w:rsid w:val="00F07EFE"/>
    <w:rsid w:val="00F27202"/>
    <w:rsid w:val="00F401EE"/>
    <w:rsid w:val="00F418B4"/>
    <w:rsid w:val="00F50353"/>
    <w:rsid w:val="00F50974"/>
    <w:rsid w:val="00F64809"/>
    <w:rsid w:val="00F65F02"/>
    <w:rsid w:val="00F707F3"/>
    <w:rsid w:val="00F82073"/>
    <w:rsid w:val="00FA0BE0"/>
    <w:rsid w:val="00FA4EBA"/>
    <w:rsid w:val="00FB374D"/>
    <w:rsid w:val="00FB6C6D"/>
    <w:rsid w:val="00FC077A"/>
    <w:rsid w:val="00FC161E"/>
    <w:rsid w:val="00FD0623"/>
    <w:rsid w:val="00FE0D42"/>
    <w:rsid w:val="00FE3F42"/>
    <w:rsid w:val="00FF4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C202E"/>
  <w15:chartTrackingRefBased/>
  <w15:docId w15:val="{DBD041BB-5DBF-472B-920F-15989E7E2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0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40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0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40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0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0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0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0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0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0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40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0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40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0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0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0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0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055"/>
    <w:rPr>
      <w:rFonts w:eastAsiaTheme="majorEastAsia" w:cstheme="majorBidi"/>
      <w:color w:val="272727" w:themeColor="text1" w:themeTint="D8"/>
    </w:rPr>
  </w:style>
  <w:style w:type="paragraph" w:styleId="Title">
    <w:name w:val="Title"/>
    <w:basedOn w:val="Normal"/>
    <w:next w:val="Normal"/>
    <w:link w:val="TitleChar"/>
    <w:uiPriority w:val="10"/>
    <w:qFormat/>
    <w:rsid w:val="00C840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0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0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0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055"/>
    <w:pPr>
      <w:spacing w:before="160"/>
      <w:jc w:val="center"/>
    </w:pPr>
    <w:rPr>
      <w:i/>
      <w:iCs/>
      <w:color w:val="404040" w:themeColor="text1" w:themeTint="BF"/>
    </w:rPr>
  </w:style>
  <w:style w:type="character" w:customStyle="1" w:styleId="QuoteChar">
    <w:name w:val="Quote Char"/>
    <w:basedOn w:val="DefaultParagraphFont"/>
    <w:link w:val="Quote"/>
    <w:uiPriority w:val="29"/>
    <w:rsid w:val="00C84055"/>
    <w:rPr>
      <w:i/>
      <w:iCs/>
      <w:color w:val="404040" w:themeColor="text1" w:themeTint="BF"/>
    </w:rPr>
  </w:style>
  <w:style w:type="paragraph" w:styleId="ListParagraph">
    <w:name w:val="List Paragraph"/>
    <w:basedOn w:val="Normal"/>
    <w:uiPriority w:val="34"/>
    <w:qFormat/>
    <w:rsid w:val="00C84055"/>
    <w:pPr>
      <w:ind w:left="720"/>
      <w:contextualSpacing/>
    </w:pPr>
  </w:style>
  <w:style w:type="character" w:styleId="IntenseEmphasis">
    <w:name w:val="Intense Emphasis"/>
    <w:basedOn w:val="DefaultParagraphFont"/>
    <w:uiPriority w:val="21"/>
    <w:qFormat/>
    <w:rsid w:val="00C84055"/>
    <w:rPr>
      <w:i/>
      <w:iCs/>
      <w:color w:val="0F4761" w:themeColor="accent1" w:themeShade="BF"/>
    </w:rPr>
  </w:style>
  <w:style w:type="paragraph" w:styleId="IntenseQuote">
    <w:name w:val="Intense Quote"/>
    <w:basedOn w:val="Normal"/>
    <w:next w:val="Normal"/>
    <w:link w:val="IntenseQuoteChar"/>
    <w:uiPriority w:val="30"/>
    <w:qFormat/>
    <w:rsid w:val="00C840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055"/>
    <w:rPr>
      <w:i/>
      <w:iCs/>
      <w:color w:val="0F4761" w:themeColor="accent1" w:themeShade="BF"/>
    </w:rPr>
  </w:style>
  <w:style w:type="character" w:styleId="IntenseReference">
    <w:name w:val="Intense Reference"/>
    <w:basedOn w:val="DefaultParagraphFont"/>
    <w:uiPriority w:val="32"/>
    <w:qFormat/>
    <w:rsid w:val="00C840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15857">
      <w:bodyDiv w:val="1"/>
      <w:marLeft w:val="0"/>
      <w:marRight w:val="0"/>
      <w:marTop w:val="0"/>
      <w:marBottom w:val="0"/>
      <w:divBdr>
        <w:top w:val="none" w:sz="0" w:space="0" w:color="auto"/>
        <w:left w:val="none" w:sz="0" w:space="0" w:color="auto"/>
        <w:bottom w:val="none" w:sz="0" w:space="0" w:color="auto"/>
        <w:right w:val="none" w:sz="0" w:space="0" w:color="auto"/>
      </w:divBdr>
    </w:div>
    <w:div w:id="512575129">
      <w:bodyDiv w:val="1"/>
      <w:marLeft w:val="0"/>
      <w:marRight w:val="0"/>
      <w:marTop w:val="0"/>
      <w:marBottom w:val="0"/>
      <w:divBdr>
        <w:top w:val="none" w:sz="0" w:space="0" w:color="auto"/>
        <w:left w:val="none" w:sz="0" w:space="0" w:color="auto"/>
        <w:bottom w:val="none" w:sz="0" w:space="0" w:color="auto"/>
        <w:right w:val="none" w:sz="0" w:space="0" w:color="auto"/>
      </w:divBdr>
    </w:div>
    <w:div w:id="720598791">
      <w:bodyDiv w:val="1"/>
      <w:marLeft w:val="0"/>
      <w:marRight w:val="0"/>
      <w:marTop w:val="0"/>
      <w:marBottom w:val="0"/>
      <w:divBdr>
        <w:top w:val="none" w:sz="0" w:space="0" w:color="auto"/>
        <w:left w:val="none" w:sz="0" w:space="0" w:color="auto"/>
        <w:bottom w:val="none" w:sz="0" w:space="0" w:color="auto"/>
        <w:right w:val="none" w:sz="0" w:space="0" w:color="auto"/>
      </w:divBdr>
      <w:divsChild>
        <w:div w:id="1747653583">
          <w:marLeft w:val="0"/>
          <w:marRight w:val="0"/>
          <w:marTop w:val="0"/>
          <w:marBottom w:val="0"/>
          <w:divBdr>
            <w:top w:val="none" w:sz="0" w:space="0" w:color="auto"/>
            <w:left w:val="none" w:sz="0" w:space="0" w:color="auto"/>
            <w:bottom w:val="none" w:sz="0" w:space="0" w:color="auto"/>
            <w:right w:val="none" w:sz="0" w:space="0" w:color="auto"/>
          </w:divBdr>
          <w:divsChild>
            <w:div w:id="1199658396">
              <w:marLeft w:val="-75"/>
              <w:marRight w:val="0"/>
              <w:marTop w:val="30"/>
              <w:marBottom w:val="30"/>
              <w:divBdr>
                <w:top w:val="none" w:sz="0" w:space="0" w:color="auto"/>
                <w:left w:val="none" w:sz="0" w:space="0" w:color="auto"/>
                <w:bottom w:val="none" w:sz="0" w:space="0" w:color="auto"/>
                <w:right w:val="none" w:sz="0" w:space="0" w:color="auto"/>
              </w:divBdr>
              <w:divsChild>
                <w:div w:id="1892376320">
                  <w:marLeft w:val="0"/>
                  <w:marRight w:val="0"/>
                  <w:marTop w:val="0"/>
                  <w:marBottom w:val="0"/>
                  <w:divBdr>
                    <w:top w:val="none" w:sz="0" w:space="0" w:color="auto"/>
                    <w:left w:val="none" w:sz="0" w:space="0" w:color="auto"/>
                    <w:bottom w:val="none" w:sz="0" w:space="0" w:color="auto"/>
                    <w:right w:val="none" w:sz="0" w:space="0" w:color="auto"/>
                  </w:divBdr>
                  <w:divsChild>
                    <w:div w:id="124780607">
                      <w:marLeft w:val="0"/>
                      <w:marRight w:val="0"/>
                      <w:marTop w:val="0"/>
                      <w:marBottom w:val="0"/>
                      <w:divBdr>
                        <w:top w:val="none" w:sz="0" w:space="0" w:color="auto"/>
                        <w:left w:val="none" w:sz="0" w:space="0" w:color="auto"/>
                        <w:bottom w:val="none" w:sz="0" w:space="0" w:color="auto"/>
                        <w:right w:val="none" w:sz="0" w:space="0" w:color="auto"/>
                      </w:divBdr>
                    </w:div>
                    <w:div w:id="620496653">
                      <w:marLeft w:val="0"/>
                      <w:marRight w:val="0"/>
                      <w:marTop w:val="0"/>
                      <w:marBottom w:val="0"/>
                      <w:divBdr>
                        <w:top w:val="none" w:sz="0" w:space="0" w:color="auto"/>
                        <w:left w:val="none" w:sz="0" w:space="0" w:color="auto"/>
                        <w:bottom w:val="none" w:sz="0" w:space="0" w:color="auto"/>
                        <w:right w:val="none" w:sz="0" w:space="0" w:color="auto"/>
                      </w:divBdr>
                    </w:div>
                  </w:divsChild>
                </w:div>
                <w:div w:id="246960446">
                  <w:marLeft w:val="0"/>
                  <w:marRight w:val="0"/>
                  <w:marTop w:val="0"/>
                  <w:marBottom w:val="0"/>
                  <w:divBdr>
                    <w:top w:val="none" w:sz="0" w:space="0" w:color="auto"/>
                    <w:left w:val="none" w:sz="0" w:space="0" w:color="auto"/>
                    <w:bottom w:val="none" w:sz="0" w:space="0" w:color="auto"/>
                    <w:right w:val="none" w:sz="0" w:space="0" w:color="auto"/>
                  </w:divBdr>
                  <w:divsChild>
                    <w:div w:id="1024524748">
                      <w:marLeft w:val="0"/>
                      <w:marRight w:val="0"/>
                      <w:marTop w:val="0"/>
                      <w:marBottom w:val="0"/>
                      <w:divBdr>
                        <w:top w:val="none" w:sz="0" w:space="0" w:color="auto"/>
                        <w:left w:val="none" w:sz="0" w:space="0" w:color="auto"/>
                        <w:bottom w:val="none" w:sz="0" w:space="0" w:color="auto"/>
                        <w:right w:val="none" w:sz="0" w:space="0" w:color="auto"/>
                      </w:divBdr>
                    </w:div>
                    <w:div w:id="1971859139">
                      <w:marLeft w:val="0"/>
                      <w:marRight w:val="0"/>
                      <w:marTop w:val="0"/>
                      <w:marBottom w:val="0"/>
                      <w:divBdr>
                        <w:top w:val="none" w:sz="0" w:space="0" w:color="auto"/>
                        <w:left w:val="none" w:sz="0" w:space="0" w:color="auto"/>
                        <w:bottom w:val="none" w:sz="0" w:space="0" w:color="auto"/>
                        <w:right w:val="none" w:sz="0" w:space="0" w:color="auto"/>
                      </w:divBdr>
                    </w:div>
                  </w:divsChild>
                </w:div>
                <w:div w:id="285816580">
                  <w:marLeft w:val="0"/>
                  <w:marRight w:val="0"/>
                  <w:marTop w:val="0"/>
                  <w:marBottom w:val="0"/>
                  <w:divBdr>
                    <w:top w:val="none" w:sz="0" w:space="0" w:color="auto"/>
                    <w:left w:val="none" w:sz="0" w:space="0" w:color="auto"/>
                    <w:bottom w:val="none" w:sz="0" w:space="0" w:color="auto"/>
                    <w:right w:val="none" w:sz="0" w:space="0" w:color="auto"/>
                  </w:divBdr>
                  <w:divsChild>
                    <w:div w:id="462819829">
                      <w:marLeft w:val="0"/>
                      <w:marRight w:val="0"/>
                      <w:marTop w:val="0"/>
                      <w:marBottom w:val="0"/>
                      <w:divBdr>
                        <w:top w:val="none" w:sz="0" w:space="0" w:color="auto"/>
                        <w:left w:val="none" w:sz="0" w:space="0" w:color="auto"/>
                        <w:bottom w:val="none" w:sz="0" w:space="0" w:color="auto"/>
                        <w:right w:val="none" w:sz="0" w:space="0" w:color="auto"/>
                      </w:divBdr>
                    </w:div>
                    <w:div w:id="474495401">
                      <w:marLeft w:val="0"/>
                      <w:marRight w:val="0"/>
                      <w:marTop w:val="0"/>
                      <w:marBottom w:val="0"/>
                      <w:divBdr>
                        <w:top w:val="none" w:sz="0" w:space="0" w:color="auto"/>
                        <w:left w:val="none" w:sz="0" w:space="0" w:color="auto"/>
                        <w:bottom w:val="none" w:sz="0" w:space="0" w:color="auto"/>
                        <w:right w:val="none" w:sz="0" w:space="0" w:color="auto"/>
                      </w:divBdr>
                    </w:div>
                    <w:div w:id="2145851030">
                      <w:marLeft w:val="0"/>
                      <w:marRight w:val="0"/>
                      <w:marTop w:val="0"/>
                      <w:marBottom w:val="0"/>
                      <w:divBdr>
                        <w:top w:val="none" w:sz="0" w:space="0" w:color="auto"/>
                        <w:left w:val="none" w:sz="0" w:space="0" w:color="auto"/>
                        <w:bottom w:val="none" w:sz="0" w:space="0" w:color="auto"/>
                        <w:right w:val="none" w:sz="0" w:space="0" w:color="auto"/>
                      </w:divBdr>
                    </w:div>
                  </w:divsChild>
                </w:div>
                <w:div w:id="1898130183">
                  <w:marLeft w:val="0"/>
                  <w:marRight w:val="0"/>
                  <w:marTop w:val="0"/>
                  <w:marBottom w:val="0"/>
                  <w:divBdr>
                    <w:top w:val="none" w:sz="0" w:space="0" w:color="auto"/>
                    <w:left w:val="none" w:sz="0" w:space="0" w:color="auto"/>
                    <w:bottom w:val="none" w:sz="0" w:space="0" w:color="auto"/>
                    <w:right w:val="none" w:sz="0" w:space="0" w:color="auto"/>
                  </w:divBdr>
                  <w:divsChild>
                    <w:div w:id="341784453">
                      <w:marLeft w:val="0"/>
                      <w:marRight w:val="0"/>
                      <w:marTop w:val="0"/>
                      <w:marBottom w:val="0"/>
                      <w:divBdr>
                        <w:top w:val="none" w:sz="0" w:space="0" w:color="auto"/>
                        <w:left w:val="none" w:sz="0" w:space="0" w:color="auto"/>
                        <w:bottom w:val="none" w:sz="0" w:space="0" w:color="auto"/>
                        <w:right w:val="none" w:sz="0" w:space="0" w:color="auto"/>
                      </w:divBdr>
                    </w:div>
                  </w:divsChild>
                </w:div>
                <w:div w:id="1230187279">
                  <w:marLeft w:val="0"/>
                  <w:marRight w:val="0"/>
                  <w:marTop w:val="0"/>
                  <w:marBottom w:val="0"/>
                  <w:divBdr>
                    <w:top w:val="none" w:sz="0" w:space="0" w:color="auto"/>
                    <w:left w:val="none" w:sz="0" w:space="0" w:color="auto"/>
                    <w:bottom w:val="none" w:sz="0" w:space="0" w:color="auto"/>
                    <w:right w:val="none" w:sz="0" w:space="0" w:color="auto"/>
                  </w:divBdr>
                  <w:divsChild>
                    <w:div w:id="501314332">
                      <w:marLeft w:val="0"/>
                      <w:marRight w:val="0"/>
                      <w:marTop w:val="0"/>
                      <w:marBottom w:val="0"/>
                      <w:divBdr>
                        <w:top w:val="none" w:sz="0" w:space="0" w:color="auto"/>
                        <w:left w:val="none" w:sz="0" w:space="0" w:color="auto"/>
                        <w:bottom w:val="none" w:sz="0" w:space="0" w:color="auto"/>
                        <w:right w:val="none" w:sz="0" w:space="0" w:color="auto"/>
                      </w:divBdr>
                    </w:div>
                    <w:div w:id="665791620">
                      <w:marLeft w:val="0"/>
                      <w:marRight w:val="0"/>
                      <w:marTop w:val="0"/>
                      <w:marBottom w:val="0"/>
                      <w:divBdr>
                        <w:top w:val="none" w:sz="0" w:space="0" w:color="auto"/>
                        <w:left w:val="none" w:sz="0" w:space="0" w:color="auto"/>
                        <w:bottom w:val="none" w:sz="0" w:space="0" w:color="auto"/>
                        <w:right w:val="none" w:sz="0" w:space="0" w:color="auto"/>
                      </w:divBdr>
                    </w:div>
                  </w:divsChild>
                </w:div>
                <w:div w:id="582304400">
                  <w:marLeft w:val="0"/>
                  <w:marRight w:val="0"/>
                  <w:marTop w:val="0"/>
                  <w:marBottom w:val="0"/>
                  <w:divBdr>
                    <w:top w:val="none" w:sz="0" w:space="0" w:color="auto"/>
                    <w:left w:val="none" w:sz="0" w:space="0" w:color="auto"/>
                    <w:bottom w:val="none" w:sz="0" w:space="0" w:color="auto"/>
                    <w:right w:val="none" w:sz="0" w:space="0" w:color="auto"/>
                  </w:divBdr>
                  <w:divsChild>
                    <w:div w:id="857233018">
                      <w:marLeft w:val="0"/>
                      <w:marRight w:val="0"/>
                      <w:marTop w:val="0"/>
                      <w:marBottom w:val="0"/>
                      <w:divBdr>
                        <w:top w:val="none" w:sz="0" w:space="0" w:color="auto"/>
                        <w:left w:val="none" w:sz="0" w:space="0" w:color="auto"/>
                        <w:bottom w:val="none" w:sz="0" w:space="0" w:color="auto"/>
                        <w:right w:val="none" w:sz="0" w:space="0" w:color="auto"/>
                      </w:divBdr>
                    </w:div>
                  </w:divsChild>
                </w:div>
                <w:div w:id="1266888694">
                  <w:marLeft w:val="0"/>
                  <w:marRight w:val="0"/>
                  <w:marTop w:val="0"/>
                  <w:marBottom w:val="0"/>
                  <w:divBdr>
                    <w:top w:val="none" w:sz="0" w:space="0" w:color="auto"/>
                    <w:left w:val="none" w:sz="0" w:space="0" w:color="auto"/>
                    <w:bottom w:val="none" w:sz="0" w:space="0" w:color="auto"/>
                    <w:right w:val="none" w:sz="0" w:space="0" w:color="auto"/>
                  </w:divBdr>
                  <w:divsChild>
                    <w:div w:id="1751151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206097">
          <w:marLeft w:val="0"/>
          <w:marRight w:val="0"/>
          <w:marTop w:val="0"/>
          <w:marBottom w:val="0"/>
          <w:divBdr>
            <w:top w:val="none" w:sz="0" w:space="0" w:color="auto"/>
            <w:left w:val="none" w:sz="0" w:space="0" w:color="auto"/>
            <w:bottom w:val="none" w:sz="0" w:space="0" w:color="auto"/>
            <w:right w:val="none" w:sz="0" w:space="0" w:color="auto"/>
          </w:divBdr>
        </w:div>
      </w:divsChild>
    </w:div>
    <w:div w:id="1042749379">
      <w:bodyDiv w:val="1"/>
      <w:marLeft w:val="0"/>
      <w:marRight w:val="0"/>
      <w:marTop w:val="0"/>
      <w:marBottom w:val="0"/>
      <w:divBdr>
        <w:top w:val="none" w:sz="0" w:space="0" w:color="auto"/>
        <w:left w:val="none" w:sz="0" w:space="0" w:color="auto"/>
        <w:bottom w:val="none" w:sz="0" w:space="0" w:color="auto"/>
        <w:right w:val="none" w:sz="0" w:space="0" w:color="auto"/>
      </w:divBdr>
    </w:div>
    <w:div w:id="1097560849">
      <w:bodyDiv w:val="1"/>
      <w:marLeft w:val="0"/>
      <w:marRight w:val="0"/>
      <w:marTop w:val="0"/>
      <w:marBottom w:val="0"/>
      <w:divBdr>
        <w:top w:val="none" w:sz="0" w:space="0" w:color="auto"/>
        <w:left w:val="none" w:sz="0" w:space="0" w:color="auto"/>
        <w:bottom w:val="none" w:sz="0" w:space="0" w:color="auto"/>
        <w:right w:val="none" w:sz="0" w:space="0" w:color="auto"/>
      </w:divBdr>
      <w:divsChild>
        <w:div w:id="201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1753842">
      <w:bodyDiv w:val="1"/>
      <w:marLeft w:val="0"/>
      <w:marRight w:val="0"/>
      <w:marTop w:val="0"/>
      <w:marBottom w:val="0"/>
      <w:divBdr>
        <w:top w:val="none" w:sz="0" w:space="0" w:color="auto"/>
        <w:left w:val="none" w:sz="0" w:space="0" w:color="auto"/>
        <w:bottom w:val="none" w:sz="0" w:space="0" w:color="auto"/>
        <w:right w:val="none" w:sz="0" w:space="0" w:color="auto"/>
      </w:divBdr>
      <w:divsChild>
        <w:div w:id="1331299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7792929">
      <w:bodyDiv w:val="1"/>
      <w:marLeft w:val="0"/>
      <w:marRight w:val="0"/>
      <w:marTop w:val="0"/>
      <w:marBottom w:val="0"/>
      <w:divBdr>
        <w:top w:val="none" w:sz="0" w:space="0" w:color="auto"/>
        <w:left w:val="none" w:sz="0" w:space="0" w:color="auto"/>
        <w:bottom w:val="none" w:sz="0" w:space="0" w:color="auto"/>
        <w:right w:val="none" w:sz="0" w:space="0" w:color="auto"/>
      </w:divBdr>
      <w:divsChild>
        <w:div w:id="204148152">
          <w:marLeft w:val="0"/>
          <w:marRight w:val="0"/>
          <w:marTop w:val="0"/>
          <w:marBottom w:val="0"/>
          <w:divBdr>
            <w:top w:val="none" w:sz="0" w:space="0" w:color="auto"/>
            <w:left w:val="none" w:sz="0" w:space="0" w:color="auto"/>
            <w:bottom w:val="none" w:sz="0" w:space="0" w:color="auto"/>
            <w:right w:val="none" w:sz="0" w:space="0" w:color="auto"/>
          </w:divBdr>
          <w:divsChild>
            <w:div w:id="1918780938">
              <w:marLeft w:val="-75"/>
              <w:marRight w:val="0"/>
              <w:marTop w:val="30"/>
              <w:marBottom w:val="30"/>
              <w:divBdr>
                <w:top w:val="none" w:sz="0" w:space="0" w:color="auto"/>
                <w:left w:val="none" w:sz="0" w:space="0" w:color="auto"/>
                <w:bottom w:val="none" w:sz="0" w:space="0" w:color="auto"/>
                <w:right w:val="none" w:sz="0" w:space="0" w:color="auto"/>
              </w:divBdr>
              <w:divsChild>
                <w:div w:id="58018404">
                  <w:marLeft w:val="0"/>
                  <w:marRight w:val="0"/>
                  <w:marTop w:val="0"/>
                  <w:marBottom w:val="0"/>
                  <w:divBdr>
                    <w:top w:val="none" w:sz="0" w:space="0" w:color="auto"/>
                    <w:left w:val="none" w:sz="0" w:space="0" w:color="auto"/>
                    <w:bottom w:val="none" w:sz="0" w:space="0" w:color="auto"/>
                    <w:right w:val="none" w:sz="0" w:space="0" w:color="auto"/>
                  </w:divBdr>
                  <w:divsChild>
                    <w:div w:id="1027829694">
                      <w:marLeft w:val="0"/>
                      <w:marRight w:val="0"/>
                      <w:marTop w:val="0"/>
                      <w:marBottom w:val="0"/>
                      <w:divBdr>
                        <w:top w:val="none" w:sz="0" w:space="0" w:color="auto"/>
                        <w:left w:val="none" w:sz="0" w:space="0" w:color="auto"/>
                        <w:bottom w:val="none" w:sz="0" w:space="0" w:color="auto"/>
                        <w:right w:val="none" w:sz="0" w:space="0" w:color="auto"/>
                      </w:divBdr>
                    </w:div>
                  </w:divsChild>
                </w:div>
                <w:div w:id="428548937">
                  <w:marLeft w:val="0"/>
                  <w:marRight w:val="0"/>
                  <w:marTop w:val="0"/>
                  <w:marBottom w:val="0"/>
                  <w:divBdr>
                    <w:top w:val="none" w:sz="0" w:space="0" w:color="auto"/>
                    <w:left w:val="none" w:sz="0" w:space="0" w:color="auto"/>
                    <w:bottom w:val="none" w:sz="0" w:space="0" w:color="auto"/>
                    <w:right w:val="none" w:sz="0" w:space="0" w:color="auto"/>
                  </w:divBdr>
                  <w:divsChild>
                    <w:div w:id="109513577">
                      <w:marLeft w:val="0"/>
                      <w:marRight w:val="0"/>
                      <w:marTop w:val="0"/>
                      <w:marBottom w:val="0"/>
                      <w:divBdr>
                        <w:top w:val="none" w:sz="0" w:space="0" w:color="auto"/>
                        <w:left w:val="none" w:sz="0" w:space="0" w:color="auto"/>
                        <w:bottom w:val="none" w:sz="0" w:space="0" w:color="auto"/>
                        <w:right w:val="none" w:sz="0" w:space="0" w:color="auto"/>
                      </w:divBdr>
                    </w:div>
                    <w:div w:id="1036738951">
                      <w:marLeft w:val="0"/>
                      <w:marRight w:val="0"/>
                      <w:marTop w:val="0"/>
                      <w:marBottom w:val="0"/>
                      <w:divBdr>
                        <w:top w:val="none" w:sz="0" w:space="0" w:color="auto"/>
                        <w:left w:val="none" w:sz="0" w:space="0" w:color="auto"/>
                        <w:bottom w:val="none" w:sz="0" w:space="0" w:color="auto"/>
                        <w:right w:val="none" w:sz="0" w:space="0" w:color="auto"/>
                      </w:divBdr>
                    </w:div>
                  </w:divsChild>
                </w:div>
                <w:div w:id="1755004916">
                  <w:marLeft w:val="0"/>
                  <w:marRight w:val="0"/>
                  <w:marTop w:val="0"/>
                  <w:marBottom w:val="0"/>
                  <w:divBdr>
                    <w:top w:val="none" w:sz="0" w:space="0" w:color="auto"/>
                    <w:left w:val="none" w:sz="0" w:space="0" w:color="auto"/>
                    <w:bottom w:val="none" w:sz="0" w:space="0" w:color="auto"/>
                    <w:right w:val="none" w:sz="0" w:space="0" w:color="auto"/>
                  </w:divBdr>
                  <w:divsChild>
                    <w:div w:id="213541464">
                      <w:marLeft w:val="0"/>
                      <w:marRight w:val="0"/>
                      <w:marTop w:val="0"/>
                      <w:marBottom w:val="0"/>
                      <w:divBdr>
                        <w:top w:val="none" w:sz="0" w:space="0" w:color="auto"/>
                        <w:left w:val="none" w:sz="0" w:space="0" w:color="auto"/>
                        <w:bottom w:val="none" w:sz="0" w:space="0" w:color="auto"/>
                        <w:right w:val="none" w:sz="0" w:space="0" w:color="auto"/>
                      </w:divBdr>
                    </w:div>
                    <w:div w:id="1868061161">
                      <w:marLeft w:val="0"/>
                      <w:marRight w:val="0"/>
                      <w:marTop w:val="0"/>
                      <w:marBottom w:val="0"/>
                      <w:divBdr>
                        <w:top w:val="none" w:sz="0" w:space="0" w:color="auto"/>
                        <w:left w:val="none" w:sz="0" w:space="0" w:color="auto"/>
                        <w:bottom w:val="none" w:sz="0" w:space="0" w:color="auto"/>
                        <w:right w:val="none" w:sz="0" w:space="0" w:color="auto"/>
                      </w:divBdr>
                    </w:div>
                  </w:divsChild>
                </w:div>
                <w:div w:id="1649356994">
                  <w:marLeft w:val="0"/>
                  <w:marRight w:val="0"/>
                  <w:marTop w:val="0"/>
                  <w:marBottom w:val="0"/>
                  <w:divBdr>
                    <w:top w:val="none" w:sz="0" w:space="0" w:color="auto"/>
                    <w:left w:val="none" w:sz="0" w:space="0" w:color="auto"/>
                    <w:bottom w:val="none" w:sz="0" w:space="0" w:color="auto"/>
                    <w:right w:val="none" w:sz="0" w:space="0" w:color="auto"/>
                  </w:divBdr>
                  <w:divsChild>
                    <w:div w:id="254869650">
                      <w:marLeft w:val="0"/>
                      <w:marRight w:val="0"/>
                      <w:marTop w:val="0"/>
                      <w:marBottom w:val="0"/>
                      <w:divBdr>
                        <w:top w:val="none" w:sz="0" w:space="0" w:color="auto"/>
                        <w:left w:val="none" w:sz="0" w:space="0" w:color="auto"/>
                        <w:bottom w:val="none" w:sz="0" w:space="0" w:color="auto"/>
                        <w:right w:val="none" w:sz="0" w:space="0" w:color="auto"/>
                      </w:divBdr>
                    </w:div>
                  </w:divsChild>
                </w:div>
                <w:div w:id="1298679056">
                  <w:marLeft w:val="0"/>
                  <w:marRight w:val="0"/>
                  <w:marTop w:val="0"/>
                  <w:marBottom w:val="0"/>
                  <w:divBdr>
                    <w:top w:val="none" w:sz="0" w:space="0" w:color="auto"/>
                    <w:left w:val="none" w:sz="0" w:space="0" w:color="auto"/>
                    <w:bottom w:val="none" w:sz="0" w:space="0" w:color="auto"/>
                    <w:right w:val="none" w:sz="0" w:space="0" w:color="auto"/>
                  </w:divBdr>
                  <w:divsChild>
                    <w:div w:id="495532433">
                      <w:marLeft w:val="0"/>
                      <w:marRight w:val="0"/>
                      <w:marTop w:val="0"/>
                      <w:marBottom w:val="0"/>
                      <w:divBdr>
                        <w:top w:val="none" w:sz="0" w:space="0" w:color="auto"/>
                        <w:left w:val="none" w:sz="0" w:space="0" w:color="auto"/>
                        <w:bottom w:val="none" w:sz="0" w:space="0" w:color="auto"/>
                        <w:right w:val="none" w:sz="0" w:space="0" w:color="auto"/>
                      </w:divBdr>
                    </w:div>
                    <w:div w:id="1173691272">
                      <w:marLeft w:val="0"/>
                      <w:marRight w:val="0"/>
                      <w:marTop w:val="0"/>
                      <w:marBottom w:val="0"/>
                      <w:divBdr>
                        <w:top w:val="none" w:sz="0" w:space="0" w:color="auto"/>
                        <w:left w:val="none" w:sz="0" w:space="0" w:color="auto"/>
                        <w:bottom w:val="none" w:sz="0" w:space="0" w:color="auto"/>
                        <w:right w:val="none" w:sz="0" w:space="0" w:color="auto"/>
                      </w:divBdr>
                    </w:div>
                    <w:div w:id="2093967643">
                      <w:marLeft w:val="0"/>
                      <w:marRight w:val="0"/>
                      <w:marTop w:val="0"/>
                      <w:marBottom w:val="0"/>
                      <w:divBdr>
                        <w:top w:val="none" w:sz="0" w:space="0" w:color="auto"/>
                        <w:left w:val="none" w:sz="0" w:space="0" w:color="auto"/>
                        <w:bottom w:val="none" w:sz="0" w:space="0" w:color="auto"/>
                        <w:right w:val="none" w:sz="0" w:space="0" w:color="auto"/>
                      </w:divBdr>
                    </w:div>
                  </w:divsChild>
                </w:div>
                <w:div w:id="604534693">
                  <w:marLeft w:val="0"/>
                  <w:marRight w:val="0"/>
                  <w:marTop w:val="0"/>
                  <w:marBottom w:val="0"/>
                  <w:divBdr>
                    <w:top w:val="none" w:sz="0" w:space="0" w:color="auto"/>
                    <w:left w:val="none" w:sz="0" w:space="0" w:color="auto"/>
                    <w:bottom w:val="none" w:sz="0" w:space="0" w:color="auto"/>
                    <w:right w:val="none" w:sz="0" w:space="0" w:color="auto"/>
                  </w:divBdr>
                  <w:divsChild>
                    <w:div w:id="531572833">
                      <w:marLeft w:val="0"/>
                      <w:marRight w:val="0"/>
                      <w:marTop w:val="0"/>
                      <w:marBottom w:val="0"/>
                      <w:divBdr>
                        <w:top w:val="none" w:sz="0" w:space="0" w:color="auto"/>
                        <w:left w:val="none" w:sz="0" w:space="0" w:color="auto"/>
                        <w:bottom w:val="none" w:sz="0" w:space="0" w:color="auto"/>
                        <w:right w:val="none" w:sz="0" w:space="0" w:color="auto"/>
                      </w:divBdr>
                    </w:div>
                    <w:div w:id="2121483273">
                      <w:marLeft w:val="0"/>
                      <w:marRight w:val="0"/>
                      <w:marTop w:val="0"/>
                      <w:marBottom w:val="0"/>
                      <w:divBdr>
                        <w:top w:val="none" w:sz="0" w:space="0" w:color="auto"/>
                        <w:left w:val="none" w:sz="0" w:space="0" w:color="auto"/>
                        <w:bottom w:val="none" w:sz="0" w:space="0" w:color="auto"/>
                        <w:right w:val="none" w:sz="0" w:space="0" w:color="auto"/>
                      </w:divBdr>
                    </w:div>
                  </w:divsChild>
                </w:div>
                <w:div w:id="1669558773">
                  <w:marLeft w:val="0"/>
                  <w:marRight w:val="0"/>
                  <w:marTop w:val="0"/>
                  <w:marBottom w:val="0"/>
                  <w:divBdr>
                    <w:top w:val="none" w:sz="0" w:space="0" w:color="auto"/>
                    <w:left w:val="none" w:sz="0" w:space="0" w:color="auto"/>
                    <w:bottom w:val="none" w:sz="0" w:space="0" w:color="auto"/>
                    <w:right w:val="none" w:sz="0" w:space="0" w:color="auto"/>
                  </w:divBdr>
                  <w:divsChild>
                    <w:div w:id="58669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291117">
          <w:marLeft w:val="0"/>
          <w:marRight w:val="0"/>
          <w:marTop w:val="0"/>
          <w:marBottom w:val="0"/>
          <w:divBdr>
            <w:top w:val="none" w:sz="0" w:space="0" w:color="auto"/>
            <w:left w:val="none" w:sz="0" w:space="0" w:color="auto"/>
            <w:bottom w:val="none" w:sz="0" w:space="0" w:color="auto"/>
            <w:right w:val="none" w:sz="0" w:space="0" w:color="auto"/>
          </w:divBdr>
        </w:div>
      </w:divsChild>
    </w:div>
    <w:div w:id="152220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92B7E9249D6849B823496EE55FCC11" ma:contentTypeVersion="13" ma:contentTypeDescription="Create a new document." ma:contentTypeScope="" ma:versionID="5414bf197ff5771230735ba529313e02">
  <xsd:schema xmlns:xsd="http://www.w3.org/2001/XMLSchema" xmlns:xs="http://www.w3.org/2001/XMLSchema" xmlns:p="http://schemas.microsoft.com/office/2006/metadata/properties" xmlns:ns2="f5875d1f-2a18-427a-8f1e-ad57aedb2752" xmlns:ns3="5266c4c8-9da4-4cb5-886f-8096e20f273f" xmlns:ns4="75304046-ffad-4f70-9f4b-bbc776f1b690" targetNamespace="http://schemas.microsoft.com/office/2006/metadata/properties" ma:root="true" ma:fieldsID="e672da7e2e0d757c61f87dbb82e1cc99" ns2:_="" ns3:_="" ns4:_="">
    <xsd:import namespace="f5875d1f-2a18-427a-8f1e-ad57aedb2752"/>
    <xsd:import namespace="5266c4c8-9da4-4cb5-886f-8096e20f273f"/>
    <xsd:import namespace="75304046-ffad-4f70-9f4b-bbc776f1b69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BillingMetadata"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875d1f-2a18-427a-8f1e-ad57aedb27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266c4c8-9da4-4cb5-886f-8096e20f273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b4d4e0c-7b33-470a-b87c-f0aa2a4e084b}" ma:internalName="TaxCatchAll" ma:showField="CatchAllData" ma:web="f5875d1f-2a18-427a-8f1e-ad57aedb27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266c4c8-9da4-4cb5-886f-8096e20f273f">
      <Terms xmlns="http://schemas.microsoft.com/office/infopath/2007/PartnerControls"/>
    </lcf76f155ced4ddcb4097134ff3c332f>
    <TaxCatchAll xmlns="75304046-ffad-4f70-9f4b-bbc776f1b690" xsi:nil="true"/>
    <_dlc_DocId xmlns="f5875d1f-2a18-427a-8f1e-ad57aedb2752">C7XE27RNE6DY-792946075-1909746</_dlc_DocId>
    <_dlc_DocIdUrl xmlns="f5875d1f-2a18-427a-8f1e-ad57aedb2752">
      <Url>https://suffolknet.sharepoint.com/sites/PHCD/_layouts/15/DocIdRedir.aspx?ID=C7XE27RNE6DY-792946075-1909746</Url>
      <Description>C7XE27RNE6DY-792946075-1909746</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E3F138-A223-47B5-B985-4D6D115E8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875d1f-2a18-427a-8f1e-ad57aedb2752"/>
    <ds:schemaRef ds:uri="5266c4c8-9da4-4cb5-886f-8096e20f273f"/>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804DB5-DF68-4F0C-A56E-73E8EFA69B54}">
  <ds:schemaRefs>
    <ds:schemaRef ds:uri="http://schemas.microsoft.com/office/2006/documentManagement/types"/>
    <ds:schemaRef ds:uri="http://purl.org/dc/terms/"/>
    <ds:schemaRef ds:uri="75304046-ffad-4f70-9f4b-bbc776f1b690"/>
    <ds:schemaRef ds:uri="http://www.w3.org/XML/1998/namespace"/>
    <ds:schemaRef ds:uri="http://schemas.openxmlformats.org/package/2006/metadata/core-properties"/>
    <ds:schemaRef ds:uri="http://schemas.microsoft.com/office/infopath/2007/PartnerControls"/>
    <ds:schemaRef ds:uri="http://purl.org/dc/dcmitype/"/>
    <ds:schemaRef ds:uri="f5875d1f-2a18-427a-8f1e-ad57aedb2752"/>
    <ds:schemaRef ds:uri="5266c4c8-9da4-4cb5-886f-8096e20f273f"/>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8C29D5AF-C94A-400E-A6DE-4B447697A64E}">
  <ds:schemaRefs>
    <ds:schemaRef ds:uri="http://schemas.microsoft.com/sharepoint/events"/>
  </ds:schemaRefs>
</ds:datastoreItem>
</file>

<file path=customXml/itemProps4.xml><?xml version="1.0" encoding="utf-8"?>
<ds:datastoreItem xmlns:ds="http://schemas.openxmlformats.org/officeDocument/2006/customXml" ds:itemID="{E88247A4-4086-4A88-9309-C2EB7E0731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1408</Words>
  <Characters>7899</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Gear</dc:creator>
  <cp:keywords/>
  <dc:description/>
  <cp:lastModifiedBy>Jonathan Gear</cp:lastModifiedBy>
  <cp:revision>2</cp:revision>
  <dcterms:created xsi:type="dcterms:W3CDTF">2026-01-02T10:17:00Z</dcterms:created>
  <dcterms:modified xsi:type="dcterms:W3CDTF">2026-01-02T10:17:00Z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0x010100E792B7E9249D6849B823496EE55FCC11</vt:lpwstr>
  </property>
  <property fmtid="{D5CDD505-2E9C-101B-9397-08002B2CF9AE}" pid="3" name="_dlc_DocIdItemGuid">
    <vt:lpwstr>2acb49f8-a41e-4ce5-91b1-e87af3da6c4e</vt:lpwstr>
  </property>
  <property fmtid="{D5CDD505-2E9C-101B-9397-08002B2CF9AE}" pid="4" name="MediaServiceImageTags">
    <vt:lpwstr/>
  </property>
  <property fmtid="{D5CDD505-2E9C-101B-9397-08002B2CF9AE}" pid="5" name="docLang">
    <vt:lpwstr>en</vt:lpwstr>
  </property>
</Properties>
</file>